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SH-QP-004 리스크및기회관리절차서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SH-QP-004 부분을 낱개 문서로 발행하기 위한 개정본이며 내용은 통합문서와 동일하다.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평가 기준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리스크 관리 절차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주요 자동차산업 리스크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비상계획 연계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60261D6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SH-QP-004 리스크 및 기회관리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62569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3EF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972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8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B7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F552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FA9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44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CAC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723C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C96F0D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34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CCF9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2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4D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B67058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24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7EF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5177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279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EAEF0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39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F70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08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6AFB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6.1 /</w:t>
            </w:r>
            <w:proofErr w:type="gramEnd"/>
            <w:r>
              <w:rPr>
                <w:sz w:val="18"/>
                <w:lang w:eastAsia="ko-KR"/>
              </w:rPr>
              <w:t xml:space="preserve"> IATF 리스크·비상계획 관련 요구</w:t>
            </w:r>
          </w:p>
        </w:tc>
      </w:tr>
      <w:tr w:rsidR="008E371C" w14:paraId="1EAEF0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39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F70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08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6AFB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QMS의 의도된 결과에 영향을 미칠 수 있는 리스크와 기회를 체계적으로 식별, 평가, 조치 및 모니터링하여 부정적 영향을 예방하고 개선기회를 활용하는 것을 목적으로 한다.</w:t>
      </w:r>
    </w:p>
    <w:p w14:paraId="40C9243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7F7ED9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경영, 고객, 개발, 공급망, 생산, 설비, 품질, 인력, 정보, 제품안전 및 비상상황 관련 리스크와 기회에 적용한다.</w:t>
      </w:r>
    </w:p>
    <w:p w14:paraId="405E57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3BB906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3C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07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1점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0D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3점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988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5점</w:t>
            </w:r>
          </w:p>
        </w:tc>
      </w:tr>
      <w:tr w:rsidR="008E371C" w14:paraId="0E9CEAC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FD2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발생가능성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6E7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54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325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</w:tr>
      <w:tr w:rsidR="008E371C" w14:paraId="6186F8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6A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D2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30C2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고객/법규/생산 중대 영향</w:t>
            </w:r>
          </w:p>
        </w:tc>
      </w:tr>
      <w:tr w:rsidR="008E371C" w14:paraId="419DE8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39F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통제수준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8E0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충분한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70B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016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어려움</w:t>
            </w:r>
            <w:proofErr w:type="spellEnd"/>
          </w:p>
        </w:tc>
      </w:tr>
    </w:tbl>
    <w:p w14:paraId="61E1E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부서별 리스크 평가는 회사가 정한 평가방식에 따라 우선순위를 결정한다. 제품·공정 고장위험은 PFMEA 등 해당 Core Tool의 평가방식을 사용한다.</w:t>
      </w:r>
    </w:p>
    <w:p w14:paraId="32CAD90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6B0780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51B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4CA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27A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73768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A90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3E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KPI, 고객, 심사, 변경, 공급망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BA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3D06A4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4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9464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가능성/영향/통제수준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F3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</w:tr>
      <w:tr w:rsidR="008E371C" w14:paraId="06F648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625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23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회피, 감소, 공유, 수용 또는 기회 활용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0E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</w:tr>
      <w:tr w:rsidR="008E371C" w14:paraId="494ACDA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BDE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68F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756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64A3F2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00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8AC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 xml:space="preserve"> 및 KPI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C0A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BF144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31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72A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변경/문제/경영검토 시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DC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리스크대장</w:t>
            </w:r>
            <w:proofErr w:type="spellEnd"/>
          </w:p>
        </w:tc>
      </w:tr>
    </w:tbl>
    <w:p w14:paraId="61E3DB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주요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자동차산업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</w:p>
    <w:p w14:paraId="7D6456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품질목표 미달</w:t>
      </w:r>
    </w:p>
    <w:p w14:paraId="0D596D8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 고장 및 Capacity 부족</w:t>
      </w:r>
    </w:p>
    <w:p w14:paraId="3ACB12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단일 공급원/협력사 품질·납기 문제</w:t>
      </w:r>
    </w:p>
    <w:p w14:paraId="1B7F9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제품안전 관리 실패</w:t>
      </w:r>
    </w:p>
    <w:p w14:paraId="08A190B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부적합</w:t>
      </w:r>
      <w:proofErr w:type="spellEnd"/>
    </w:p>
    <w:p w14:paraId="393A8B43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누락</w:t>
      </w:r>
      <w:proofErr w:type="spellEnd"/>
    </w:p>
    <w:p w14:paraId="15FD5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정전·화재·IT 장애·물류중단 등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위험</w:t>
      </w:r>
    </w:p>
    <w:p w14:paraId="325A49D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비상계획 연계</w:t>
      </w:r>
    </w:p>
    <w:p w14:paraId="4CCF620B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공급연속성에</w:t>
      </w:r>
      <w:proofErr w:type="spellEnd"/>
      <w:r>
        <w:rPr>
          <w:sz w:val="21"/>
          <w:lang w:eastAsia="ko-KR"/>
        </w:rPr>
        <w:t xml:space="preserve"> 중대한 영향을 줄 수 있는 위험은 비상계획에 반영한다. 비상계획은 정기적으로 시험하고 실제 사건 또는 시험결과를 통해 적절성을 검토·개정한다.</w:t>
      </w:r>
    </w:p>
    <w:p w14:paraId="4AF12E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B37F5C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0B4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90F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051598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BE7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등록부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D78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위험/기회, 평가, 조치, 책임, 기한</w:t>
            </w:r>
          </w:p>
        </w:tc>
      </w:tr>
      <w:tr w:rsidR="008E371C" w14:paraId="6C2753B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52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비상계획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6D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시나리오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488F02B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302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44D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>/KPI 변화</w:t>
            </w:r>
          </w:p>
        </w:tc>
      </w:tr>
    </w:tbl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선행품질팀 팀장 / 검토: 품질책임자 / 승인: 대표이사. 주관부서는 본 문서의 운영과 개정을, 검토자는 내용 검토를, 승인권자는 승인과 배포를 책임진다.</w:t>
      </w:r>
    </w:p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2"/>
      <w:footerReference w:type="default" r:id="rId1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>(주)신화에이치앤티  |  SH-QP-004  |  문서상태: 개정초안(미승인)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