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SH-QP-014 부적합품및재작업관리절차서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SH-QP-014 부분을 낱개 문서로 발행하기 위한 개정본이며 내용은 통합문서와 동일하다.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부적합 식별 및 격리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부적합 처리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재작업 관리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고객 특채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의심품 범위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기록 및 분석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문서관리 및 기록관리</w:t>
      </w:r>
    </w:p>
    <w:p w14:paraId="719A219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SH-QP-014 부적합품 및 재작업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BFDB08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69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B7E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7C6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B09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3FE2D6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AA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34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27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6FCD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0915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20A0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6F2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2D0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0030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BCA1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FAC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83D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8E5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DB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D607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B6D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0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9FE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6563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8.7 /</w:t>
            </w:r>
            <w:proofErr w:type="gramEnd"/>
            <w:r>
              <w:rPr>
                <w:sz w:val="18"/>
                <w:lang w:eastAsia="ko-KR"/>
              </w:rPr>
              <w:t xml:space="preserve"> IATF 부적합품·재작업·수리·특채</w:t>
            </w:r>
          </w:p>
        </w:tc>
      </w:tr>
      <w:tr w:rsidR="008E371C" w14:paraId="5AD607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B6D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0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9FE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6563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또는 의심 제품의 의도하지 않은 사용과 출하를 방지하고 격리, 판정, 재작업, 수리, 특채, 반품 및 폐기를 체계적으로 관리하는 방법을 규정한다.</w:t>
      </w:r>
    </w:p>
    <w:p w14:paraId="2CFB94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부적합 식별 및 격리</w:t>
      </w:r>
    </w:p>
    <w:p w14:paraId="4A88B8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발견자는 즉시 해당 제품과 의심범위를 식별하고 지정 격리구역으로 이동하거나 물리적 이동이 어려운 경우 명확한 보류표시와 시스템 통제를 실시한다.</w:t>
      </w:r>
    </w:p>
    <w:p w14:paraId="7A1C83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처리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073F6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1A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424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BE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69FC1D0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880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880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재작업표준에 따라 원래 규격 복원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5D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8E371C" w14:paraId="007717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17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D6B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요구와 다른 방법으로 사용 가능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68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18CF24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62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2B3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47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</w:tr>
      <w:tr w:rsidR="008E371C" w14:paraId="4F0D27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283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393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CA2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8E371C" w14:paraId="117BF0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B5B8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094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BEE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9BC10A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65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선별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3C3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 LOT 전수/강화검사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60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6ED752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597DE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 부적합 원인과 대상 LOT 명확화</w:t>
      </w:r>
    </w:p>
    <w:p w14:paraId="3E37E5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손상 및 신규 위험을 고려한 재작업 표준 승인</w:t>
      </w:r>
    </w:p>
    <w:p w14:paraId="016E00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 항목 및 결과 기록</w:t>
      </w:r>
    </w:p>
    <w:p w14:paraId="74229E1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재작업품의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추적성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유지</w:t>
      </w:r>
      <w:proofErr w:type="spellEnd"/>
    </w:p>
    <w:p w14:paraId="6F184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재작업은 시정조치 대상으로 상향</w:t>
      </w:r>
    </w:p>
    <w:p w14:paraId="11EFDE7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고객 특채</w:t>
      </w:r>
    </w:p>
    <w:p w14:paraId="3A35F8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요구를 충족하지 못한 제품을 출하하려는 경우 고객 사전승인 필요성을 확인한다. 특채의 적용 품번, LOT, 수량, 기간 및 조건을 식별하고 만료 후 정상 승인상태로 복귀한다.</w:t>
      </w:r>
    </w:p>
    <w:p w14:paraId="437845D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범위</w:t>
      </w:r>
    </w:p>
    <w:p w14:paraId="781BE5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마지막 정상 확인시점, 공정/설비/원자재 LOT, 교대, 검사결과 및 추적정보를 이용하여 의심범위를 보수적으로 설정한다.</w:t>
      </w:r>
    </w:p>
    <w:p w14:paraId="614BD9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 및 분석</w:t>
      </w:r>
    </w:p>
    <w:p w14:paraId="35D520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유형, 수량, 원인, 처리 및 비용을 집계하여 Pareto, 반복불량 및 품질비용 분석에 활용하고 필요한 경우 시정조치를 발행한다.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적용범위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부적합품 및 재작업 관리 절차서 업무를 수행하는 부서와 관련 기록에 적용한다.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책임과 권한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보존기간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11. 문서관리 및 기록관리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6"/>
      <w:footerReference w:type="default" r:id="rId1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>(주)신화에이치앤티  |  SH-QP-014  |  문서상태: 개정초안(미승인)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