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SH-WI-023 고객불만긴급봉쇄및현장대응표준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SH-WI-023 부분을 낱개 문서로 발행하기 위한 개정본이며 내용은 통합문서와 동일하다.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불만 접수 즉시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의심품 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 및 출하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현장 보존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19EA4F1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SH-WI-023 고객불만 긴급봉쇄 및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2A300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A0C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0C1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BDA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90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4FB616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7E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CFF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C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CE7F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EDF9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42C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73E1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CF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58C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0C96E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CA9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B8C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08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519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SH-QP-016 / SH-QP-014</w:t>
            </w:r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접수 시 고객 보호를 최우선으로 생산, 재고, 출하 및 의심품을 신속히 통제하고 정확한 초기정보를 확보한다.</w:t>
      </w:r>
    </w:p>
    <w:p w14:paraId="6A121F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E63C3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DB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C10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AD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3856E9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09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DE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6FF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고객·품번·LOT·현상·수량</w:t>
            </w:r>
          </w:p>
        </w:tc>
      </w:tr>
      <w:tr w:rsidR="008E371C" w14:paraId="65DF4D6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539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CA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F9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동일품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</w:tr>
      <w:tr w:rsidR="008E371C" w14:paraId="7E50FF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91B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2D1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4EE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완제품·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·자재·출하대기품</w:t>
            </w:r>
          </w:p>
        </w:tc>
      </w:tr>
      <w:tr w:rsidR="008E371C" w14:paraId="55C951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CEC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0A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F1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동일원인 지속 가능성 평가</w:t>
            </w:r>
          </w:p>
        </w:tc>
      </w:tr>
      <w:tr w:rsidR="008E371C" w14:paraId="443A67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93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EE7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고객보호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153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긴급대응</w:t>
            </w:r>
            <w:proofErr w:type="spellEnd"/>
          </w:p>
        </w:tc>
      </w:tr>
      <w:tr w:rsidR="008E371C" w14:paraId="473D6F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7FA9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현품확보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7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불량품·사진·측정정보</w:t>
            </w:r>
          </w:p>
        </w:tc>
      </w:tr>
      <w:tr w:rsidR="008E371C" w14:paraId="10101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857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51C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B30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D1~D3 및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</w:tbl>
    <w:p w14:paraId="543C7E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범위</w:t>
      </w:r>
      <w:proofErr w:type="spellEnd"/>
    </w:p>
    <w:p w14:paraId="2FCBD9F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LOT만으로 임의 축소하지 않고 마지막 정상 확인시점을 검토한다.</w:t>
      </w:r>
    </w:p>
    <w:p w14:paraId="3A75D0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설비, 금형, 자재 LOT, 작업조건 및 교대의 연관성을 확인한다.</w:t>
      </w:r>
    </w:p>
    <w:p w14:paraId="54DC88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이미 출하된 LOT와 고객 재고에 대한 영향을 확인한다.</w:t>
      </w:r>
    </w:p>
    <w:p w14:paraId="2B6711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범위가 불명확하면 고객보호 관점에서 넓게 봉쇄 후 데이터로 축소한다.</w:t>
      </w:r>
    </w:p>
    <w:p w14:paraId="2C0CAA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선별 및 출하</w:t>
      </w:r>
    </w:p>
    <w:p w14:paraId="7CF88E5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선별이 필요한 경우 SH-WI-014에 따라 검사기준, 대상수량, 식별 및 이중확인을 정의한다. 봉쇄 해제 또는 </w:t>
      </w:r>
      <w:proofErr w:type="spellStart"/>
      <w:r>
        <w:rPr>
          <w:sz w:val="21"/>
          <w:lang w:eastAsia="ko-KR"/>
        </w:rPr>
        <w:t>선별품</w:t>
      </w:r>
      <w:proofErr w:type="spellEnd"/>
      <w:r>
        <w:rPr>
          <w:sz w:val="21"/>
          <w:lang w:eastAsia="ko-KR"/>
        </w:rPr>
        <w:t xml:space="preserve"> 출하는 품질 권한자의 승인 후 실시한다.</w:t>
      </w:r>
    </w:p>
    <w:p w14:paraId="667957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보존</w:t>
      </w:r>
      <w:proofErr w:type="spellEnd"/>
    </w:p>
    <w:p w14:paraId="581617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문제 발생 당시 공정조건, 설비상태, 자재 LOT 및 검사기록을 보존한다.</w:t>
      </w:r>
    </w:p>
    <w:p w14:paraId="62825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원인분석 전 임의로 조건을 변경하거나 불량품을 폐기하지 않는다.</w:t>
      </w:r>
    </w:p>
    <w:p w14:paraId="3CBB38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대책 적용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검증을 실시한다.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고객불만 긴급봉쇄 및 현장대응 표준 업무를 수행하는 부서와 관련 기록에 적용한다.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불만 접수 즉시', '3. 의심품 범위', '4. 선별 및 출하', '5. 현장 보존'에서 정한 절차에 따른다.</w:t>
      </w:r>
    </w:p>
    <w:sectPr w:rsidR="008E371C">
      <w:headerReference w:type="default" r:id="rId30"/>
      <w:footerReference w:type="default" r:id="rId3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 xml:space="preserve">(주)신화에이치앤티  |  SH-WI-023  |  문서상태: 승인완료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