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SH-WI-024 공급자입고품이상및긴급대응표준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SH-WI-024 부분을 낱개 문서로 발행하기 위한 개정본이며 내용은 통합문서와 동일하다.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이상 발견 시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공급자 통보정보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선별/대체품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생산중단 위험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문서관리 및 기록관리</w:t>
      </w:r>
    </w:p>
    <w:p w14:paraId="756A02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SH-WI-024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입고품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이상 및 긴급대응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5BB87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6C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8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EC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9F7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5B42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FC5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11D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B3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9C299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4973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5C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BC99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104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F958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54C1E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FA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9A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F03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F6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6A1A5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F39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A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115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CDC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SH-QP-014 / SH-QP-020</w:t>
            </w:r>
          </w:p>
        </w:tc>
      </w:tr>
      <w:tr w:rsidR="008E371C" w14:paraId="56A1A5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F39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A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115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CDC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 또는 구매품의 이상 발견 시 사용과 혼입을 차단하고 공급자와 신속히 대응하여 생산 및 고객 공급 영향을 최소화한다.</w:t>
      </w:r>
    </w:p>
    <w:p w14:paraId="0077AA7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832230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442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C48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D1E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D412F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661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66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C55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품번·LOT·수량</w:t>
            </w:r>
            <w:proofErr w:type="spellEnd"/>
          </w:p>
        </w:tc>
      </w:tr>
      <w:tr w:rsidR="008E371C" w14:paraId="263D68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67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D41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0C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격리위치</w:t>
            </w:r>
            <w:proofErr w:type="spellEnd"/>
          </w:p>
        </w:tc>
      </w:tr>
      <w:tr w:rsidR="008E371C" w14:paraId="29A357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8ED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94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LOT 불출/투입 중지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053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58697D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779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C63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 투입된 생산품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6EE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2081F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B88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33E1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구매·품질·공급자 통보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27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사진</w:t>
            </w:r>
            <w:proofErr w:type="spellEnd"/>
          </w:p>
        </w:tc>
      </w:tr>
      <w:tr w:rsidR="008E371C" w14:paraId="3322D4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3D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92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선별·교환·대체납품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751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생산영향</w:t>
            </w:r>
            <w:proofErr w:type="spellEnd"/>
          </w:p>
        </w:tc>
      </w:tr>
      <w:tr w:rsidR="008E371C" w14:paraId="3FFB04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531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7B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8E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1BF9446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통보정보</w:t>
      </w:r>
      <w:proofErr w:type="spellEnd"/>
    </w:p>
    <w:p w14:paraId="44C2F0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공급자 LOT 및 입고일</w:t>
      </w:r>
    </w:p>
    <w:p w14:paraId="05879B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불량현상, 규격, 측정값 또는 사진</w:t>
      </w:r>
    </w:p>
    <w:p w14:paraId="3E5B8B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검사수량, 불량수량 및 발견 위치</w:t>
      </w:r>
    </w:p>
    <w:p w14:paraId="58F4BF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재고와 생산/납기 영향</w:t>
      </w:r>
    </w:p>
    <w:p w14:paraId="4061E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요구하는 긴급대응 및 회신기한</w:t>
      </w:r>
    </w:p>
    <w:p w14:paraId="073D74B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선별/대체품</w:t>
      </w:r>
    </w:p>
    <w:p w14:paraId="5BB298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선별 또는 대체납품을 실시하는 경우 검사기준과 합격 식별방법을 사전에 합의한다. 대체자재 또는 사양변경은 SH-QP-015 변경관리 및 고객승인 필요성을 확인한다.</w:t>
      </w:r>
    </w:p>
    <w:p w14:paraId="6D94E77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생산중단 위험</w:t>
      </w:r>
    </w:p>
    <w:p w14:paraId="047FCD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자재 부족으로 고객 공급중단 위험이 예상되면 SH-QP-020 비상계획에 따라 안전재고, 대체공급, 운송 및 고객통보를 검토한다.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공급자 입고품 이상 및 긴급대응 표준 업무를 수행하는 부서와 관련 기록에 적용한다.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이상 발견 시', '3. 공급자 통보정보', '4. 선별/대체품', '5. 생산중단 위험'에서 정한 절차에 따른다.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문서관리 및 기록관리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LOT 추적은 SH-QP-018 에 따라 입고부터 출하까지 1시간 이내 추적을 목표로 하며, 관련 기록은 5년 보존한다.</w:t>
      </w:r>
    </w:p>
    <w:sectPr w:rsidR="008E371C">
      <w:headerReference w:type="default" r:id="rId30"/>
      <w:footerReference w:type="default" r:id="rId3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 xml:space="preserve">(주)신화에이치앤티  |  SH-WI-024  |  문서상태: 승인완료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