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SH-WI-016 예방보전및설비점검작업표준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SH-WI-016 부분을 낱개 문서로 발행하기 위한 개정본이며 내용은 통합문서와 동일하다.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예방보전 계획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절차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고장이력 및 분석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재가동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39AA38B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SH-WI-016 예방보전 및 설비점검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E69B73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EFE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405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C6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CF1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6C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46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FBB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B79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955B8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3066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1EA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F7F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9BA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345B7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C1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403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FC9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109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설비의 계획보전과 상태점검을 체계적으로 수행하여 돌발고장, 품질변동 및 고객 공급중단을 예방한다.</w:t>
      </w:r>
    </w:p>
    <w:p w14:paraId="4E3A6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B8105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D3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0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D3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BAD83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5B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6C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청소, </w:t>
            </w:r>
            <w:proofErr w:type="spellStart"/>
            <w:r>
              <w:rPr>
                <w:sz w:val="18"/>
                <w:lang w:eastAsia="ko-KR"/>
              </w:rPr>
              <w:t>누유</w:t>
            </w:r>
            <w:proofErr w:type="spellEnd"/>
            <w:r>
              <w:rPr>
                <w:sz w:val="18"/>
                <w:lang w:eastAsia="ko-KR"/>
              </w:rPr>
              <w:t>, 소음, 센서, 안전장치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B64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56A999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AD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D13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윤활, 체결, 필터, 벨트, 전장상태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1AF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점검표</w:t>
            </w:r>
            <w:proofErr w:type="spellEnd"/>
          </w:p>
        </w:tc>
      </w:tr>
      <w:tr w:rsidR="008E371C" w14:paraId="3BB2C1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A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798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소모품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E8B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교환이력</w:t>
            </w:r>
            <w:proofErr w:type="spellEnd"/>
          </w:p>
        </w:tc>
      </w:tr>
      <w:tr w:rsidR="008E371C" w14:paraId="05C91C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F31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94D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정밀도, 반복성, 핵심기능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E1F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89D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9F36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B21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Spare 재고/상태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04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</w:tbl>
    <w:p w14:paraId="0C2AD20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보전 담당은 설비 제조사 자료와 승인된 기술검토를 바탕으로 오일 종류, 사용량, 점검항목, 교환기준과 주기를 지정한다. 주기는 가동시간·기간·상태 중 적용 기준을 명확히 하며 서로 다른 오일의 혼용 가능 여부는 기술자료로 확인한다.</w:t>
      </w:r>
    </w:p>
    <w:p w14:paraId="61C794A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 담당은 설비·JIG의 고유번호, 적용 품번, 기준면·</w:t>
      </w:r>
      <w:proofErr w:type="spellStart"/>
      <w:r>
        <w:rPr>
          <w:sz w:val="21"/>
          <w:lang w:eastAsia="ko-KR"/>
        </w:rPr>
        <w:t>기준핀</w:t>
      </w:r>
      <w:proofErr w:type="spellEnd"/>
      <w:r>
        <w:rPr>
          <w:sz w:val="21"/>
          <w:lang w:eastAsia="ko-KR"/>
        </w:rPr>
        <w:t>·가동부와 주요 기능을 지정한다. 핀 위치도와 상세사진에 번호를 부여하여 점검표와 일치시킨다. 설비점검과 JIG점검의 대상·책임을 구분하되 공통 이력을 추적할 수 있게 연결한다.</w:t>
      </w:r>
    </w:p>
    <w:p w14:paraId="409FBE0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도면, 제작사 권고, 사용빈도, 고장이력과 품질영향을 근거로 마모·위치·정밀도·반복성 등 점검항목, 측정방법, 허용범위 및 주기를 정한다. 필요한 계측기와 기준 상태를 지정하고 대상별 계획일·담당자를 등록한다. 근거 없는 공차를 일괄 적용하지 않는다.</w:t>
      </w:r>
    </w:p>
    <w:p w14:paraId="4B495B0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p w14:paraId="5835B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 전 설비 정지 및 필요한 안전조치 실시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, 유량·수위, 오염 등 지정항목을 안전한 점검방법에 따라 확인한다. 시료 비교를 적용하는 경우 채취위치·방법·일자·설비번호·기준시료 상태를 식별한다. 색상만으로 모든 성능을 판정하지 않고 승인된 시험·판정방법을 따른다.</w:t>
      </w:r>
    </w:p>
    <w:p w14:paraId="1FE70B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점검기준서의 항목과 주기를 확인 점검자는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, 계측기 번호, 이상부위, 조치 및 완료일을 기록한다.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·지연 시 사유와 제품·생산 위험을 검토하고 대체점검·사용제한·재계획을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 계획일을 실제 실시일로 덮어써 지연 이력을 없애지 않는다.</w:t>
      </w:r>
    </w:p>
    <w:p w14:paraId="7DC1A0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발견 시 상태, 위치, 정도를 기록</w:t>
      </w:r>
    </w:p>
    <w:p w14:paraId="0829A0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영향 가능 시 생산품을 보류하고 품질에 통보</w:t>
      </w:r>
    </w:p>
    <w:p w14:paraId="400CBD5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 후 기능·안전·공정조건을 확인하고 재가동 승인</w:t>
      </w:r>
    </w:p>
    <w:p w14:paraId="43C7720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고장이력 및 분석</w:t>
      </w:r>
    </w:p>
    <w:p w14:paraId="556EC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고장시간, 원인, 수리내용, 교체부품 및 재발여부를 기록한다. 반복고장과 장시간 정지는 우선 개선대상으로 선정한다.</w:t>
      </w:r>
    </w:p>
    <w:p w14:paraId="165BFE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SH-FM-220 </w:t>
      </w:r>
      <w:proofErr w:type="spellStart"/>
      <w:r>
        <w:rPr>
          <w:sz w:val="21"/>
          <w:lang w:eastAsia="ko-KR"/>
        </w:rPr>
        <w:t xml:space="preserve">작동유관리기준서에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23E3D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SH-FM-225 설비정기점검 관리기준서, SH-FM-231 JIG정기점검 관리기준서, SH-FM-232 JIG정기점검계획대실적표, SH-FM-233 JIG </w:t>
      </w:r>
      <w:proofErr w:type="spellStart"/>
      <w:r>
        <w:rPr>
          <w:sz w:val="21"/>
          <w:lang w:eastAsia="ko-KR"/>
        </w:rPr>
        <w:t xml:space="preserve">기준핀정기점검</w:t>
      </w:r>
      <w:proofErr w:type="spellEnd"/>
      <w:r>
        <w:rPr>
          <w:sz w:val="21"/>
          <w:lang w:eastAsia="ko-KR"/>
        </w:rPr>
        <w:t xml:space="preserve"> 실적, SH-FM-234 JIG PIN 위치도 및 상세사진 위치도에 작성하고 최신 승인 문서관리대장에 따라 보관한다.</w:t>
      </w:r>
    </w:p>
    <w:p w14:paraId="08CE080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재가동</w:t>
      </w:r>
    </w:p>
    <w:p w14:paraId="6316A82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수리 또는 중대한 보전 후에는 공정조건과 오류방지 기능을 확인하고 필요한 경우 </w:t>
      </w:r>
      <w:proofErr w:type="spellStart"/>
      <w:r>
        <w:rPr>
          <w:sz w:val="21"/>
          <w:lang w:eastAsia="ko-KR"/>
        </w:rPr>
        <w:t>초품검사를</w:t>
      </w:r>
      <w:proofErr w:type="spellEnd"/>
      <w:r>
        <w:rPr>
          <w:sz w:val="21"/>
          <w:lang w:eastAsia="ko-KR"/>
        </w:rPr>
        <w:t xml:space="preserve"> 수행한다. 품질 영향품은 판정 전 정상제품과 혼합하지 않는다. 이상 또는 교환기준 도달 시 보충·교환·설비점검을 실시하고 실제 </w:t>
      </w:r>
      <w:proofErr w:type="spellStart"/>
      <w:r>
        <w:rPr>
          <w:sz w:val="21"/>
          <w:lang w:eastAsia="ko-KR"/>
        </w:rPr>
        <w:t>사용품</w:t>
      </w:r>
      <w:proofErr w:type="spellEnd"/>
      <w:r>
        <w:rPr>
          <w:sz w:val="21"/>
          <w:lang w:eastAsia="ko-KR"/>
        </w:rPr>
        <w:t xml:space="preserve">, 수량, 작업일, 가동시간과 조치자를 기록한다. 작업 후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·작동상태와 제품 영향 여부를 확인하여 재가동한다. 폐유 취급은 회사의 승인된 환경·안전 관리절차에 따른다.</w:t>
      </w:r>
    </w:p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예방보전 및 설비점검 작업표준 업무를 수행하는 부서와 관련 기록에 적용한다.</w:t>
      </w:r>
    </w:p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예방보전 계획', '3. 작업 절차', '4. 고장이력 및 분석', '5. 재가동'에서 정한 절차에 따른다.</w:t>
      </w:r>
    </w:p>
    <w:sectPr w:rsidR="008E371C">
      <w:headerReference w:type="default" r:id="rId28"/>
      <w:footerReference w:type="default" r:id="rId2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 xml:space="preserve">(주)신화에이치앤티  |  SH-WI-016  |  문서상태: 승인완료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