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SH-WI-022 변경초기유동및강화검사작업표준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SH-WI-022 부분을 낱개 문서로 발행하기 위한 개정본이며 내용은 통합문서와 동일하다.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초기유동 적용 대상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초기유동 계획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실행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종료 승인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  <w:proofErr w:type="spellStart"/>
      <w:proofErr w:type="spellEnd"/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  <w:proofErr w:type="spellStart"/>
      <w:proofErr w:type="spellEnd"/>
    </w:p>
    <w:p w14:paraId="322C340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SH-WI-022 변경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강화검사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BD452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3AA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9B3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1DB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10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2C60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1F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6DA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6D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8AA3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830A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194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908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8C3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1FF7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0C721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E0F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779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0D9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77A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0E999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F28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D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5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2A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 / SH-QP-012 / SH-QP-013 / SH-QP-023</w:t>
            </w:r>
          </w:p>
        </w:tc>
      </w:tr>
      <w:tr w:rsidR="008E371C" w14:paraId="70E999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F28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D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5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2A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변경, 신규·</w:t>
      </w:r>
      <w:proofErr w:type="spellStart"/>
      <w:r>
        <w:rPr>
          <w:sz w:val="21"/>
          <w:lang w:eastAsia="ko-KR"/>
        </w:rPr>
        <w:t>변경품</w:t>
      </w:r>
      <w:proofErr w:type="spellEnd"/>
      <w:r>
        <w:rPr>
          <w:sz w:val="21"/>
          <w:lang w:eastAsia="ko-KR"/>
        </w:rPr>
        <w:t xml:space="preserve"> 또는 품질문제 후 공정의 초기 안정성을 강화된 검사와 데이터로 확인한 후 정상관리로 전환한다.</w:t>
      </w:r>
    </w:p>
    <w:p w14:paraId="37450DC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6F2DD0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 또는 신규 공정 양산 초기</w:t>
      </w:r>
    </w:p>
    <w:p w14:paraId="4B981C1F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Man, Machine, Material, Method 등 </w:t>
      </w: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4M </w:t>
      </w:r>
      <w:proofErr w:type="spellStart"/>
      <w:r>
        <w:rPr>
          <w:sz w:val="21"/>
        </w:rPr>
        <w:t>변경</w:t>
      </w:r>
      <w:proofErr w:type="spellEnd"/>
    </w:p>
    <w:p w14:paraId="257BC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대수리</w:t>
      </w:r>
      <w:proofErr w:type="spellEnd"/>
      <w:r>
        <w:rPr>
          <w:sz w:val="21"/>
          <w:lang w:eastAsia="ko-KR"/>
        </w:rPr>
        <w:t xml:space="preserve"> 또는 중요 설비 변경</w:t>
      </w:r>
    </w:p>
    <w:p w14:paraId="1784B1E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원자재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58A9E7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중대 고객불만 또는 반복불량 대책 적용 후</w:t>
      </w:r>
    </w:p>
    <w:p w14:paraId="09299BE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특별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관리를 요구한 경우</w:t>
      </w:r>
    </w:p>
    <w:p w14:paraId="1C4E04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7075F1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5A1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009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ABD0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8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45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공정, 변경번호, 적용일</w:t>
            </w:r>
          </w:p>
        </w:tc>
      </w:tr>
      <w:tr w:rsidR="008E371C" w14:paraId="6E9DCF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7A4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76C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 LOT, 일수 또는 생산수량</w:t>
            </w:r>
          </w:p>
        </w:tc>
      </w:tr>
      <w:tr w:rsidR="008E371C" w14:paraId="1D8993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A0F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D1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특수특성·변경 영향특성·과거 불량</w:t>
            </w:r>
          </w:p>
        </w:tc>
      </w:tr>
      <w:tr w:rsidR="008E371C" w14:paraId="7AA565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E4D6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검사빈도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48B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100%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샘플링</w:t>
            </w:r>
            <w:proofErr w:type="spellEnd"/>
          </w:p>
        </w:tc>
      </w:tr>
      <w:tr w:rsidR="008E371C" w14:paraId="7BDD03B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EB0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5DA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이중검사, Poka-Yoke 확인</w:t>
            </w:r>
          </w:p>
        </w:tc>
      </w:tr>
      <w:tr w:rsidR="008E371C" w14:paraId="5C5274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D4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4AD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확인자</w:t>
            </w:r>
            <w:proofErr w:type="spellEnd"/>
          </w:p>
        </w:tc>
      </w:tr>
      <w:tr w:rsidR="008E371C" w14:paraId="57DC9C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994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 xml:space="preserve">Exit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790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불량/능력/기간 등 종료조건</w:t>
            </w:r>
          </w:p>
        </w:tc>
      </w:tr>
    </w:tbl>
    <w:p w14:paraId="4573E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0B5F6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대상 제품과 정상관리 제품을 식별한다.</w:t>
      </w:r>
    </w:p>
    <w:p w14:paraId="662BD4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특성은 승인된 검사방법으로 강화 확인한다.</w:t>
      </w:r>
    </w:p>
    <w:p w14:paraId="3A7C34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해당 LOT를 보류하고 원인 및 변경과의 연관성을 확인한다.</w:t>
      </w:r>
    </w:p>
    <w:p w14:paraId="49F940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SH-FM-052 </w:t>
      </w:r>
      <w:proofErr w:type="spellStart"/>
      <w:r>
        <w:rPr>
          <w:sz w:val="21"/>
          <w:lang w:eastAsia="ko-KR"/>
        </w:rPr>
        <w:t>초기유동관리계획서</w:t>
      </w:r>
      <w:proofErr w:type="spellEnd"/>
      <w:r>
        <w:rPr>
          <w:sz w:val="21"/>
          <w:lang w:eastAsia="ko-KR"/>
        </w:rPr>
        <w:t xml:space="preserve"> 및 실제 강화검사 기록에 생산수량, 불량수량, 조치와 결과를 기록한다.</w:t>
      </w:r>
    </w:p>
    <w:p w14:paraId="7A33B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종료 승인</w:t>
      </w:r>
    </w:p>
    <w:p w14:paraId="2C3F77F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정해진 기간 또는 수량을 충족하고 품질문제 재발이 없으며 요구 공정능력/검사결과가 충족될 때 품질 권한자가 정상관리 전환을 승인한다. 기준 미달 시 </w:t>
      </w:r>
      <w:proofErr w:type="spellStart"/>
      <w:r>
        <w:rPr>
          <w:sz w:val="21"/>
          <w:lang w:eastAsia="ko-KR"/>
        </w:rPr>
        <w:t>초기유동을</w:t>
      </w:r>
      <w:proofErr w:type="spellEnd"/>
      <w:r>
        <w:rPr>
          <w:sz w:val="21"/>
          <w:lang w:eastAsia="ko-KR"/>
        </w:rPr>
        <w:t xml:space="preserve"> 연장한다.</w:t>
      </w:r>
    </w:p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변경 초기유동 및 강화검사 작업표준 업무를 수행하는 부서와 관련 기록에 적용한다.</w:t>
      </w:r>
      <w:proofErr w:type="spellStart"/>
      <w:proofErr w:type="spellEnd"/>
    </w:p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초기유동 적용 대상', '3. 초기유동 계획', '4. 실행', '5. 종료 승인'에서 정한 절차에 따른다.</w:t>
      </w:r>
      <w:proofErr w:type="spellStart"/>
      <w:proofErr w:type="spellEnd"/>
    </w:p>
    <w:sectPr w:rsidR="008E371C">
      <w:headerReference w:type="default" r:id="rId30"/>
      <w:footerReference w:type="default" r:id="rId3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 xml:space="preserve">(주)신화에이치앤티  |  SH-WI-022  |  문서상태: 승인완료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