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SH-WI-009 자재입고·보관·불출관리표준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SH-WI-009 부분을 낱개 문서로 발행하기 위한 개정본이며 내용은 통합문서와 동일하다.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입고 확인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보관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FIFO 불출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장기재고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혼입 방지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  <w:proofErr w:type="spellStart"/>
      <w:proofErr w:type="spellEnd"/>
    </w:p>
    <w:p w14:paraId="016396D3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SH-WI-009 자재 입고·보관·불출 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1CFAAB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DCD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D638B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4A3D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26A8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C9A454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C95C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0070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EFB43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E1056F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537ACBB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6143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67B65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자재 입고·보관·불출 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CAA8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A0DE3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120C4D6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E5E1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A8AE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B07B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E14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87A87B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2DE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0FA2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DFA9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37C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 / SH-QP-013 / SH-QP-018 / SH-QP-019</w:t>
            </w:r>
          </w:p>
        </w:tc>
      </w:tr>
      <w:tr w:rsidR="008E371C" w14:paraId="687A87B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2DE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0FA2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DFA9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37C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3FB66B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원자재와 구매품의 입고, 검사상태, LOT, 보관 및 불출을 관리하여 </w:t>
      </w:r>
      <w:proofErr w:type="spellStart"/>
      <w:r>
        <w:rPr>
          <w:sz w:val="21"/>
          <w:lang w:eastAsia="ko-KR"/>
        </w:rPr>
        <w:t>미승인</w:t>
      </w:r>
      <w:proofErr w:type="spellEnd"/>
      <w:r>
        <w:rPr>
          <w:sz w:val="21"/>
          <w:lang w:eastAsia="ko-KR"/>
        </w:rPr>
        <w:t xml:space="preserve"> 자재 사용, 혼입 및 장기재고 문제를 예방한다.</w:t>
      </w:r>
    </w:p>
    <w:p w14:paraId="775C580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입고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A57335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AAFEA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755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782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138BC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95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3E9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377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71C08B0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4EA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879F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발주서와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현품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ECA6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입고보류</w:t>
            </w:r>
            <w:proofErr w:type="spellEnd"/>
          </w:p>
        </w:tc>
      </w:tr>
      <w:tr w:rsidR="008E371C" w14:paraId="70AD283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396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DF83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납품수량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1E50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차이기록</w:t>
            </w:r>
            <w:proofErr w:type="spellEnd"/>
          </w:p>
        </w:tc>
      </w:tr>
      <w:tr w:rsidR="008E371C" w14:paraId="5B595C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EBE56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LOT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CC4EC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LOT/제조일 식별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F7D2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추적정보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  <w:tr w:rsidR="008E371C" w14:paraId="79673F1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2F79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포장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4CBA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파손·오염·부식 여부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E06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</w:tr>
      <w:tr w:rsidR="008E371C" w14:paraId="13FB28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ECCB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4795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수입검사/</w:t>
            </w:r>
            <w:proofErr w:type="spellStart"/>
            <w:r>
              <w:rPr>
                <w:sz w:val="18"/>
                <w:lang w:eastAsia="ko-KR"/>
              </w:rPr>
              <w:t>무검사</w:t>
            </w:r>
            <w:proofErr w:type="spellEnd"/>
            <w:r>
              <w:rPr>
                <w:sz w:val="18"/>
                <w:lang w:eastAsia="ko-KR"/>
              </w:rPr>
              <w:t xml:space="preserve"> 승인상태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313C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미승인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사용금지</w:t>
            </w:r>
            <w:proofErr w:type="spellEnd"/>
          </w:p>
        </w:tc>
      </w:tr>
    </w:tbl>
    <w:p w14:paraId="254B308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보관</w:t>
      </w:r>
      <w:proofErr w:type="spellEnd"/>
    </w:p>
    <w:p w14:paraId="5091445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품번·LOT·검사상태별 위치 식별</w:t>
      </w:r>
    </w:p>
    <w:p w14:paraId="6FF8B31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바닥 직접 적치 및 제품 손상 방지</w:t>
      </w:r>
    </w:p>
    <w:p w14:paraId="32FC987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방청·습도·오염 등 품목별 보존조건 준수</w:t>
      </w:r>
    </w:p>
    <w:p w14:paraId="1F71A5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합격·보류·부적합 자재 분리</w:t>
      </w:r>
    </w:p>
    <w:p w14:paraId="65E4608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유효기간 자재는 FEFO 등 지정 방식 적용</w:t>
      </w:r>
    </w:p>
    <w:p w14:paraId="0556EB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FIFO 불출</w:t>
      </w:r>
    </w:p>
    <w:p w14:paraId="72A05D5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먼저 입고된 승인 LOT를 우선 불출한다. 예외 불출이 필요한 경우 사유와 승인 근거를 남긴다. 불출 시 생산 LOT와 원자재 LOT 연결정보를 유지한다.</w:t>
      </w:r>
    </w:p>
    <w:p w14:paraId="0D293B2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장기재고</w:t>
      </w:r>
    </w:p>
    <w:p w14:paraId="01CF26B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정해진 기준을 초과한 장기재고는 상태, 부식, 포장 및 유효기간을 확인하고 필요한 경우 재검사 후 사용한다.</w:t>
      </w:r>
    </w:p>
    <w:p w14:paraId="030C91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혼입 방지</w:t>
      </w:r>
    </w:p>
    <w:p w14:paraId="143961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유사품, 좌/우 사양, 외관 유사 자재는 위치·용기·라벨을 차별화하고 </w:t>
      </w:r>
      <w:proofErr w:type="spellStart"/>
      <w:r>
        <w:rPr>
          <w:sz w:val="21"/>
          <w:lang w:eastAsia="ko-KR"/>
        </w:rPr>
        <w:t>품번전환</w:t>
      </w:r>
      <w:proofErr w:type="spellEnd"/>
      <w:r>
        <w:rPr>
          <w:sz w:val="21"/>
          <w:lang w:eastAsia="ko-KR"/>
        </w:rPr>
        <w:t xml:space="preserve"> 시 잔량을 확인한다.</w:t>
      </w:r>
    </w:p>
    <w:p w14:paraId="3FB66B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자재 입고·보관·불출 관리 표준 업무를 수행하는 부서와 관련 기록에 적용한다.</w:t>
      </w:r>
      <w:proofErr w:type="spellStart"/>
      <w:proofErr w:type="spellEnd"/>
    </w:p>
    <w:p w14:paraId="3FB66B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</w:p>
    <w:p w14:paraId="3FB66B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입고 확인', '3. 보관', '4. FIFO 불출', '5. 장기재고', '6. 혼입 방지'에서 정한 절차에 따른다.</w:t>
      </w:r>
      <w:proofErr w:type="spellStart"/>
      <w:proofErr w:type="spellEnd"/>
    </w:p>
    <w:sectPr w:rsidR="008E371C">
      <w:headerReference w:type="default" r:id="rId24"/>
      <w:footerReference w:type="default" r:id="rId25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1A80" w14:textId="77777777" w:rsidR="00063ECA" w:rsidRDefault="00063ECA">
    <w:pPr>
      <w:spacing w:after="0"/>
    </w:pPr>
    <w:r>
      <w:t>(주)신화에이치앤티  |  SH-WI-009  |  문서상태: 개정초안(미승인)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