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SH-WI-011 공정조건설정및변경관리표준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SH-WI-011 부분을 낱개 문서로 발행하기 위한 개정본이며 내용은 통합문서와 동일하다.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 시작 전 조건 확인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조건 설정 및 기록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조건 이탈 시 반응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변경관리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SH-FM-151에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 xml:space="preserve">실제값</w:t>
      </w:r>
      <w:proofErr w:type="spellEnd"/>
      <w:r>
        <w:rPr>
          <w:sz w:val="21"/>
          <w:lang w:eastAsia="ko-KR"/>
        </w:rPr>
        <w:t xml:space="preserve"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SH-FM-149 용접조건 </w:t>
      </w:r>
      <w:proofErr w:type="spellStart"/>
      <w:r>
        <w:rPr>
          <w:sz w:val="21"/>
          <w:lang w:eastAsia="ko-KR"/>
        </w:rPr>
        <w:t xml:space="preserve">검증체크시트</w:t>
      </w:r>
      <w:proofErr w:type="spellEnd"/>
      <w:r>
        <w:rPr>
          <w:sz w:val="21"/>
          <w:lang w:eastAsia="ko-KR"/>
        </w:rPr>
        <w:t xml:space="preserve">, SH-FM-150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관리기준서, SH-FM-151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공정조건 설정 및 변경관리 표준 업무를 수행하는 부서와 관련 기록에 적용한다.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 시작 전 조건 확인', '3. 조건 설정 및 기록', '4. 조건 이탈 시 반응', '5. 변경관리'에서 정한 절차에 따른다.</w:t>
      </w:r>
    </w:p>
    <w:sectPr w:rsidR="008E371C">
      <w:headerReference w:type="default" r:id="rId26"/>
      <w:footerReference w:type="default" r:id="rId2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>(주)신화에이치앤티  |  SH-WI-011  |  문서상태: 개정초안(미승인)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