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sz w:val="40"/>
          <w:szCs w:val="40"/>
        </w:rPr>
        <w:t>신화에이치앤티 LOT 관리기준서</w:t>
      </w:r>
    </w:p>
    <w:p>
      <w:pPr>
        <w:spacing w:after="240"/>
        <w:jc w:val="center"/>
      </w:pPr>
      <w:r>
        <w:rPr>
          <w:rFonts w:ascii="맑은 고딕" w:cs="맑은 고딕" w:eastAsia="맑은 고딕" w:hAnsi="맑은 고딕"/>
          <w:sz w:val="24"/>
          <w:szCs w:val="24"/>
        </w:rPr>
        <w:t xml:space="preserve">원자재부터 고객 인도까지 연결하는 현장 운영기준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문서 상태</w:t>
            </w:r>
          </w:p>
        </w:tc>
        <w:tc>
          <w:tcPr>
            <w:tcW w:type="dxa" w:w="32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작성 기준일</w:t>
            </w:r>
          </w:p>
        </w:tc>
        <w:tc>
          <w:tcPr>
            <w:tcW w:type="dxa" w:w="32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문서번호 및 시행일</w:t>
            </w:r>
          </w:p>
        </w:tc>
      </w:tr>
      <w:tr>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통합 보완본 Rev.04</w:t>
              <w:br/>
              <w:t>시행 전 확정 필요</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2026년 9월 15일</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문서번호 확정 전 / 시행일 지정 전</w:t>
            </w:r>
          </w:p>
        </w:tc>
      </w:tr>
    </w:tbl>
    <w:p>
      <w:pPr>
        <w:spacing w:after="100" w:before="200"/>
      </w:pPr>
      <w:r>
        <w:rPr>
          <w:rFonts w:ascii="맑은 고딕" w:cs="맑은 고딕" w:eastAsia="맑은 고딕" w:hAnsi="맑은 고딕"/>
          <w:b/>
          <w:bCs/>
          <w:sz w:val="21"/>
          <w:szCs w:val="21"/>
        </w:rPr>
        <w:t xml:space="preserve">개정이력</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600"/>
        <w:gridCol w:w="900"/>
      </w:tblGrid>
      <w:tr>
        <w:tc>
          <w:tcPr>
            <w:tcW w:type="dxa" w:w="14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개정번호</w:t>
            </w:r>
          </w:p>
        </w:tc>
        <w:tc>
          <w:tcPr>
            <w:tcW w:type="dxa" w:w="18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개정일자</w:t>
            </w:r>
          </w:p>
        </w:tc>
        <w:tc>
          <w:tcPr>
            <w:tcW w:type="dxa" w:w="56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개정내용</w:t>
            </w:r>
          </w:p>
        </w:tc>
        <w:tc>
          <w:tcPr>
            <w:tcW w:type="dxa" w:w="9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작성자</w:t>
            </w:r>
          </w:p>
        </w:tc>
      </w:tr>
      <w:tr>
        <w:tc>
          <w:tcPr>
            <w:tcW w:type="dxa" w:w="1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Rev.00</w:t>
            </w:r>
          </w:p>
        </w:tc>
        <w:tc>
          <w:tcPr>
            <w:tcW w:type="dxa" w:w="18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2026-09-15</w:t>
            </w:r>
          </w:p>
        </w:tc>
        <w:tc>
          <w:tcPr>
            <w:tcW w:type="dxa" w:w="56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최초 작성(초안)</w:t>
            </w:r>
          </w:p>
        </w:tc>
        <w:tc>
          <w:tcPr>
            <w:tcW w:type="dxa" w:w="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w:t>
            </w:r>
          </w:p>
        </w:tc>
      </w:tr>
      <w:tr>
        <w:tc>
          <w:tcPr>
            <w:tcW w:type="dxa" w:w="1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Rev.01</w:t>
            </w:r>
          </w:p>
        </w:tc>
        <w:tc>
          <w:tcPr>
            <w:tcW w:type="dxa" w:w="18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2026-09-15</w:t>
            </w:r>
          </w:p>
        </w:tc>
        <w:tc>
          <w:tcPr>
            <w:tcW w:type="dxa" w:w="56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일자리 코드에서 I/O/Q 제외 재설계, 배치번호 부여규칙 신설, 연도코드 2030년까지 확장, 용어정의·개정이력 신설, 내부 입고번호 상시 부여로 명확화, 빈칸 표기 규칙 구체화</w:t>
            </w:r>
          </w:p>
        </w:tc>
        <w:tc>
          <w:tcPr>
            <w:tcW w:type="dxa" w:w="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w:t>
            </w:r>
          </w:p>
        </w:tc>
      </w:tr>
      <w:tr>
        <w:tc>
          <w:tcPr>
            <w:tcW w:type="dxa" w:w="1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Rev.02</w:t>
            </w:r>
          </w:p>
        </w:tc>
        <w:tc>
          <w:tcPr>
            <w:tcW w:type="dxa" w:w="18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2026-09-15</w:t>
            </w:r>
          </w:p>
        </w:tc>
        <w:tc>
          <w:tcPr>
            <w:tcW w:type="dxa" w:w="56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코드 전환 및 기존 재고 보존 기준, 배치 부여와 라벨 항목 구분, 미확인 관리와 시행 전 검증 기준 보완</w:t>
            </w:r>
          </w:p>
        </w:tc>
        <w:tc>
          <w:tcPr>
            <w:tcW w:type="dxa" w:w="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미지정</w:t>
            </w:r>
          </w:p>
        </w:tc>
      </w:tr>
      <w:tr>
        <w:tc>
          <w:tcPr>
            <w:tcW w:type="dxa" w:w="1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Rev.03</w:t>
            </w:r>
          </w:p>
        </w:tc>
        <w:tc>
          <w:tcPr>
            <w:tcW w:type="dxa" w:w="18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2026-09-15</w:t>
            </w:r>
          </w:p>
        </w:tc>
        <w:tc>
          <w:tcPr>
            <w:tcW w:type="dxa" w:w="56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공급사 LOT 불일치 대응, 라벨 재발행 통제, 미확인 해제 권한 및 고객 요구사항 대장 추가</w:t>
            </w:r>
          </w:p>
        </w:tc>
        <w:tc>
          <w:tcPr>
            <w:tcW w:type="dxa" w:w="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w:t>
            </w:r>
          </w:p>
        </w:tc>
      </w:tr>
      <w:tr>
        <w:tc>
          <w:tcPr>
            <w:tcW w:type="dxa" w:w="1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Rev.04</w:t>
            </w:r>
          </w:p>
        </w:tc>
        <w:tc>
          <w:tcPr>
            <w:tcW w:type="dxa" w:w="18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2026-09-15</w:t>
            </w:r>
          </w:p>
        </w:tc>
        <w:tc>
          <w:tcPr>
            <w:tcW w:type="dxa" w:w="56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Rev.02 상세 기준 복원 및 Rev.03 예외 처리 통합. 권한 간소화, 라벨 분실 대응, 고객 요구사항 근거 관리 보완</w:t>
            </w:r>
          </w:p>
        </w:tc>
        <w:tc>
          <w:tcPr>
            <w:tcW w:type="dxa" w:w="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미지정</w:t>
            </w:r>
          </w:p>
        </w:tc>
      </w:tr>
    </w:tbl>
    <w:p>
      <w:pPr>
        <w:pStyle w:val="Heading2"/>
        <w:spacing w:after="120" w:before="240"/>
      </w:pPr>
      <w:r>
        <w:rPr>
          <w:rFonts w:ascii="맑은 고딕" w:cs="맑은 고딕" w:eastAsia="맑은 고딕" w:hAnsi="맑은 고딕"/>
          <w:b/>
          <w:bCs/>
          <w:sz w:val="25"/>
          <w:szCs w:val="25"/>
        </w:rPr>
        <w:t xml:space="preserve">목적과 적용 범위</w:t>
      </w:r>
    </w:p>
    <w:p>
      <w:pPr>
        <w:spacing w:after="120"/>
      </w:pPr>
      <w:r>
        <w:rPr>
          <w:rFonts w:ascii="맑은 고딕" w:cs="맑은 고딕" w:eastAsia="맑은 고딕" w:hAnsi="맑은 고딕"/>
          <w:b w:val="false"/>
          <w:bCs w:val="false"/>
          <w:i w:val="false"/>
          <w:iCs w:val="false"/>
          <w:sz w:val="21"/>
          <w:szCs w:val="21"/>
        </w:rPr>
        <w:t xml:space="preserve">원자재와 부자재의 입고 LOT를 작업지시번호와 공정 기록에 연결하고, 검사 합격품의 제품 LOT 및 출하 기록까지 이어 관리한다. 어느 단계에서 조회해도 사용 자재와 생산 이력, 출하처를 양방향으로 찾을 수 있도록 한다.</w:t>
      </w:r>
    </w:p>
    <w:p>
      <w:pPr>
        <w:spacing w:after="120"/>
      </w:pPr>
      <w:r>
        <w:rPr>
          <w:rFonts w:ascii="맑은 고딕" w:cs="맑은 고딕" w:eastAsia="맑은 고딕" w:hAnsi="맑은 고딕"/>
          <w:b w:val="false"/>
          <w:bCs w:val="false"/>
          <w:i w:val="false"/>
          <w:iCs w:val="false"/>
          <w:sz w:val="21"/>
          <w:szCs w:val="21"/>
        </w:rPr>
        <w:t xml:space="preserve">원부자재 입고, 창고 보관, 생산 및 세척, 조립과 검사, 제품 LOT 부여, 포장, 완제품 보관, 출하 및 기록 보존에 적용한다. 사진은 공정 이해 자료이며 검사 합격이나 실제 LOT 연결의 증빙을 대신하지 않는다.</w:t>
      </w:r>
    </w:p>
    <w:p>
      <w:pPr>
        <w:pStyle w:val="Heading2"/>
        <w:spacing w:after="120" w:before="240"/>
      </w:pPr>
      <w:r>
        <w:rPr>
          <w:rFonts w:ascii="맑은 고딕" w:cs="맑은 고딕" w:eastAsia="맑은 고딕" w:hAnsi="맑은 고딕"/>
          <w:b/>
          <w:bCs/>
          <w:sz w:val="25"/>
          <w:szCs w:val="25"/>
        </w:rPr>
        <w:t xml:space="preserve">반드시 지킬 원칙</w:t>
      </w:r>
    </w:p>
    <w:p>
      <w:pPr>
        <w:spacing w:after="100"/>
      </w:pPr>
      <w:r>
        <w:rPr>
          <w:rFonts w:ascii="맑은 고딕" w:cs="맑은 고딕" w:eastAsia="맑은 고딕" w:hAnsi="맑은 고딕"/>
          <w:sz w:val="21"/>
          <w:szCs w:val="21"/>
        </w:rPr>
        <w:t xml:space="preserve">• 제품 LOT는 기존의 연도 월 일 3자리 코드를 유지한다. 품번과 작업지시번호 및 배치번호를 함께 관리한다.</w:t>
      </w:r>
    </w:p>
    <w:p>
      <w:pPr>
        <w:spacing w:after="100"/>
      </w:pPr>
      <w:r>
        <w:rPr>
          <w:rFonts w:ascii="맑은 고딕" w:cs="맑은 고딕" w:eastAsia="맑은 고딕" w:hAnsi="맑은 고딕"/>
          <w:sz w:val="21"/>
          <w:szCs w:val="21"/>
        </w:rPr>
        <w:t xml:space="preserve">• 조립 완료 → 검사 → 합격품 제품 LOT 부여와 라벨링 → 포장 → 출하 순서를 지킨다.</w:t>
      </w:r>
    </w:p>
    <w:p>
      <w:pPr>
        <w:spacing w:after="100"/>
      </w:pPr>
      <w:r>
        <w:rPr>
          <w:rFonts w:ascii="맑은 고딕" w:cs="맑은 고딕" w:eastAsia="맑은 고딕" w:hAnsi="맑은 고딕"/>
          <w:sz w:val="21"/>
          <w:szCs w:val="21"/>
        </w:rPr>
        <w:t xml:space="preserve">• 각 인계 시점에 이전 LOT와 다음 식별번호, 수량, 일시, 담당자, 근거 기록을 남긴다.</w:t>
      </w:r>
    </w:p>
    <w:p>
      <w:pPr>
        <w:spacing w:after="100"/>
      </w:pPr>
      <w:r>
        <w:rPr>
          <w:rFonts w:ascii="맑은 고딕" w:cs="맑은 고딕" w:eastAsia="맑은 고딕" w:hAnsi="맑은 고딕"/>
          <w:sz w:val="21"/>
          <w:szCs w:val="21"/>
        </w:rPr>
        <w:t xml:space="preserve">• 미확인 LOT를 임의로 만들거나 과거 기록을 추정하여 채우지 않는다. 보류 또는 부적합품은 식별하고 격리한다.</w:t>
      </w:r>
    </w:p>
    <w:p>
      <w:pPr>
        <w:spacing w:after="100"/>
      </w:pPr>
      <w:r>
        <w:rPr>
          <w:rFonts w:ascii="맑은 고딕" w:cs="맑은 고딕" w:eastAsia="맑은 고딕" w:hAnsi="맑은 고딕"/>
          <w:sz w:val="21"/>
          <w:szCs w:val="21"/>
        </w:rPr>
        <w:t xml:space="preserve">• 동일 품번이 같은 날짜(동일 제품 LOT)에 복수 배치로 생산되면 배치번호로 구분하며, 배치번호 없이 제품 LOT만으로 서로 다른 배치를 합치지 않는다.</w:t>
      </w:r>
    </w:p>
    <w:p>
      <w:pPr>
        <w:pStyle w:val="Heading2"/>
        <w:spacing w:after="120" w:before="240"/>
      </w:pPr>
      <w:r>
        <w:rPr>
          <w:rFonts w:ascii="맑은 고딕" w:cs="맑은 고딕" w:eastAsia="맑은 고딕" w:hAnsi="맑은 고딕"/>
          <w:b/>
          <w:bCs/>
          <w:sz w:val="25"/>
          <w:szCs w:val="25"/>
        </w:rPr>
        <w:t xml:space="preserve">용어 정의</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용어</w:t>
            </w:r>
          </w:p>
        </w:tc>
        <w:tc>
          <w:tcPr>
            <w:tcW w:type="dxa" w:w="73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정의</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제품 LOT</w:t>
            </w:r>
          </w:p>
        </w:tc>
        <w:tc>
          <w:tcPr>
            <w:tcW w:type="dxa" w:w="7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완제품에 부여하는 연/월/일 3자리 식별코드(예 VJR). 품번, 배치번호와 함께 사용해야 특정 생산단위를 식별할 수 있다.</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배치번호</w:t>
            </w:r>
          </w:p>
        </w:tc>
        <w:tc>
          <w:tcPr>
            <w:tcW w:type="dxa" w:w="7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품번과 실제 생산일별로 모든 생산 배치에 부여하는 순번. 한 배치도 01부터 부여하며, 작업지시번호 및 필요 시 세부 작업기록과 연결한다.</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작업지시번호</w:t>
            </w:r>
          </w:p>
        </w:tc>
        <w:tc>
          <w:tcPr>
            <w:tcW w:type="dxa" w:w="7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생산 지시 단위로 부여하는 번호. 예 WO-YYYYMMDD-순번.</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내부 입고번호</w:t>
            </w:r>
          </w:p>
        </w:tc>
        <w:tc>
          <w:tcPr>
            <w:tcW w:type="dxa" w:w="7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공급사 LOT와 별도로 사내 관리를 위해 입고 시점에 부여하는 번호. 예 RM/SM-YYYYMMDD-순번.</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연결대장</w:t>
            </w:r>
          </w:p>
        </w:tc>
        <w:tc>
          <w:tcPr>
            <w:tcW w:type="dxa" w:w="7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전산으로 자동 연결관리가 되지 않는 구간에서 이전 식별번호와 다음 식별번호, 수량을 수기로 기록하는 대장.</w:t>
            </w:r>
          </w:p>
        </w:tc>
      </w:tr>
    </w:tbl>
    <w:p>
      <w:pPr>
        <w:pStyle w:val="Heading2"/>
        <w:spacing w:after="120" w:before="240"/>
      </w:pPr>
      <w:r>
        <w:rPr>
          <w:rFonts w:ascii="맑은 고딕" w:cs="맑은 고딕" w:eastAsia="맑은 고딕" w:hAnsi="맑은 고딕"/>
          <w:b/>
          <w:bCs/>
          <w:sz w:val="25"/>
          <w:szCs w:val="25"/>
        </w:rPr>
        <w:t>시행과 적용 조건</w:t>
      </w:r>
    </w:p>
    <w:p>
      <w:pPr>
        <w:spacing w:after="120"/>
      </w:pPr>
      <w:r>
        <w:rPr>
          <w:rFonts w:ascii="맑은 고딕" w:cs="맑은 고딕" w:eastAsia="맑은 고딕" w:hAnsi="맑은 고딕"/>
          <w:b w:val="false"/>
          <w:bCs w:val="false"/>
          <w:i w:val="false"/>
          <w:iCs w:val="false"/>
          <w:sz w:val="21"/>
          <w:szCs w:val="21"/>
        </w:rPr>
        <w:t>3자리 제품 LOT와 검사 후 라벨링 순서를 유지한다. 본 문서는 Rev.02의 상세 기준과 Rev.03의 예외 처리를 통합한 Rev.04이다. 문서번호, 시행일, 코드 전환일, 담당자와 대체자, 보존기간 및 고객 요구사항을 확정한 후 시행한다. 새 코드의 현장 적용은 프로그램과 양식 검증 완료 후 시작하며 기존 SOP와 일치시킨다. 본 문서만으로 고객 승인이나 심사 적합성이 확인된 것으로 판단하지 않는다.</w:t>
      </w:r>
    </w:p>
    <w:p>
      <w:pPr>
        <w:pStyle w:val="Heading1"/>
        <w:spacing w:after="160" w:before="320"/>
      </w:pPr>
      <w:r>
        <w:rPr>
          <w:rFonts w:ascii="맑은 고딕" w:cs="맑은 고딕" w:eastAsia="맑은 고딕" w:hAnsi="맑은 고딕"/>
          <w:b/>
          <w:bCs/>
          <w:sz w:val="30"/>
          <w:szCs w:val="30"/>
        </w:rPr>
        <w:t xml:space="preserve">1  식별번호와 제품 LOT 부여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300"/>
      </w:tblGrid>
      <w:tr>
        <w:tc>
          <w:tcPr>
            <w:tcW w:type="dxa" w:w="1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대상</w:t>
            </w:r>
          </w:p>
        </w:tc>
        <w:tc>
          <w:tcPr>
            <w:tcW w:type="dxa" w:w="36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식별 기준</w:t>
            </w:r>
          </w:p>
        </w:tc>
        <w:tc>
          <w:tcPr>
            <w:tcW w:type="dxa" w:w="43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연결할 정보</w:t>
            </w:r>
          </w:p>
        </w:tc>
      </w:tr>
      <w:tr>
        <w:tc>
          <w:tcPr>
            <w:tcW w:type="dxa" w:w="1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원자재와 부자재</w:t>
            </w:r>
          </w:p>
        </w:tc>
        <w:tc>
          <w:tcPr>
            <w:tcW w:type="dxa" w:w="36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공급사 LOT 원문 보존. 입고 시 내부 입고번호를 항상 별도로 부여한다.</w:t>
            </w:r>
          </w:p>
        </w:tc>
        <w:tc>
          <w:tcPr>
            <w:tcW w:type="dxa" w:w="4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공급사 품번, 입고일, 수량, 검사결과</w:t>
            </w:r>
          </w:p>
        </w:tc>
      </w:tr>
      <w:tr>
        <w:tc>
          <w:tcPr>
            <w:tcW w:type="dxa" w:w="1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재공품</w:t>
            </w:r>
          </w:p>
        </w:tc>
        <w:tc>
          <w:tcPr>
            <w:tcW w:type="dxa" w:w="36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실제 작업지시번호와 공정 기록번호</w:t>
            </w:r>
          </w:p>
        </w:tc>
        <w:tc>
          <w:tcPr>
            <w:tcW w:type="dxa" w:w="4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투입 자재 LOT, 공정, 설비, 수량</w:t>
            </w:r>
          </w:p>
        </w:tc>
      </w:tr>
      <w:tr>
        <w:tc>
          <w:tcPr>
            <w:tcW w:type="dxa" w:w="1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완제품</w:t>
            </w:r>
          </w:p>
        </w:tc>
        <w:tc>
          <w:tcPr>
            <w:tcW w:type="dxa" w:w="36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품번과 3자리 제품 LOT, 배치번호 관리(부여 규칙은 아래 참고)</w:t>
            </w:r>
          </w:p>
        </w:tc>
        <w:tc>
          <w:tcPr>
            <w:tcW w:type="dxa" w:w="4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작업지시번호, 실제 생산일, 검사기록</w:t>
            </w:r>
          </w:p>
        </w:tc>
      </w:tr>
      <w:tr>
        <w:tc>
          <w:tcPr>
            <w:tcW w:type="dxa" w:w="1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포장과 출하</w:t>
            </w:r>
          </w:p>
        </w:tc>
        <w:tc>
          <w:tcPr>
            <w:tcW w:type="dxa" w:w="36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박스 또는 팔레트 번호와 출하번호</w:t>
            </w:r>
          </w:p>
        </w:tc>
        <w:tc>
          <w:tcPr>
            <w:tcW w:type="dxa" w:w="4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품번, 제품 LOT, 배치, 수량, 고객</w:t>
            </w:r>
          </w:p>
        </w:tc>
      </w:tr>
    </w:tbl>
    <w:p>
      <w:pPr>
        <w:spacing w:after="120"/>
      </w:pPr>
      <w:r>
        <w:rPr>
          <w:rFonts w:ascii="맑은 고딕" w:cs="맑은 고딕" w:eastAsia="맑은 고딕" w:hAnsi="맑은 고딕"/>
          <w:b w:val="false"/>
          <w:bCs w:val="false"/>
          <w:i w:val="false"/>
          <w:iCs w:val="false"/>
          <w:sz w:val="21"/>
          <w:szCs w:val="21"/>
        </w:rPr>
        <w:t xml:space="preserve">내부 번호 예시 RM-20260915-001 원자재 입고 / SM-20260915-001 부자재 입고 / WO-20260915-001 작업지시. 예시는 사내 양식 확정용이며 공급사 LOT를 대체하지 않는다. 번호는 재사용하지 않는다.</w:t>
      </w:r>
    </w:p>
    <w:p>
      <w:pPr>
        <w:pStyle w:val="Heading2"/>
        <w:spacing w:after="120" w:before="240"/>
      </w:pPr>
      <w:r>
        <w:rPr>
          <w:rFonts w:ascii="맑은 고딕" w:cs="맑은 고딕" w:eastAsia="맑은 고딕" w:hAnsi="맑은 고딕"/>
          <w:b/>
          <w:bCs/>
          <w:sz w:val="25"/>
          <w:szCs w:val="25"/>
        </w:rPr>
        <w:t xml:space="preserve">배치번호 부여 규칙</w:t>
      </w:r>
    </w:p>
    <w:p>
      <w:pPr>
        <w:spacing w:after="120"/>
      </w:pPr>
      <w:r>
        <w:rPr>
          <w:rFonts w:ascii="맑은 고딕" w:cs="맑은 고딕" w:eastAsia="맑은 고딕" w:hAnsi="맑은 고딕"/>
          <w:b w:val="false"/>
          <w:bCs w:val="false"/>
          <w:i w:val="false"/>
          <w:iCs w:val="false"/>
          <w:sz w:val="21"/>
          <w:szCs w:val="21"/>
        </w:rPr>
        <w:t>배치순번은 품번과 실제 생산일별로 01부터 부여한다. 한 배치만 생산해도 01을 사용한다. 별도 작업지시, 투입 원부자재 LOT 구성 변경, 재작업 착수 시 새 배치순번을 부여하고 이전 배치와 사유 및 수량을 연결한다. 같은 원부자재 LOT의 단순 분할 투입이나 공정 이동만으로 순번을 변경하지 않는다.</w:t>
      </w:r>
      <w:r>
        <w:rPr>
          <w:rStyle w:val="CommentReference"/>
        </w:rPr>
      </w:r>
    </w:p>
    <w:p>
      <w:pPr>
        <w:spacing w:after="120"/>
      </w:pPr>
      <w:r>
        <w:rPr>
          <w:rFonts w:ascii="맑은 고딕" w:cs="맑은 고딕" w:eastAsia="맑은 고딕" w:hAnsi="맑은 고딕"/>
          <w:b w:val="false"/>
          <w:bCs w:val="false"/>
          <w:i w:val="false"/>
          <w:iCs w:val="false"/>
          <w:sz w:val="21"/>
          <w:szCs w:val="21"/>
        </w:rPr>
        <w:t>사내 복합 식별번호 예시는 DEMO-PART-01-VJR-01이다. 품번은 DEMO-PART-01, 제품 LOT는 VJR, 배치순번은 01이며 각각 별도 항목으로 관리한다. 두 번째 배치는 02로 부여한다. 프로그램의 고유 배치 ID가 별도로 있으면 이 항목들과 일대일로 연결하고 기존 ID를 덮어쓰지 않는다.</w:t>
      </w:r>
    </w:p>
    <w:p>
      <w:pPr>
        <w:spacing w:after="120"/>
      </w:pPr>
      <w:r>
        <w:rPr>
          <w:rFonts w:ascii="맑은 고딕" w:cs="맑은 고딕" w:eastAsia="맑은 고딕" w:hAnsi="맑은 고딕"/>
          <w:b w:val="false"/>
          <w:bCs w:val="false"/>
          <w:i w:val="false"/>
          <w:iCs w:val="false"/>
          <w:sz w:val="21"/>
          <w:szCs w:val="21"/>
        </w:rPr>
        <w:t>배치순번은 중복 발급하거나 취소된 번호를 재사용하지 않는다. 품번과 생산일별 발급대장을 기준으로 담당자가 순번을 배정한다. 99 초과 시 100부터 자릿수를 확장하며 01로 되돌리지 않는다. 확장 자릿수를 프로그램과 라벨에서 지원하는지 사전에 확인하고, 미지원 상태에서는 번호를 임의 축약하지 않는다.</w:t>
      </w:r>
    </w:p>
    <w:p>
      <w:pPr>
        <w:spacing w:after="120"/>
      </w:pPr>
      <w:r>
        <w:rPr>
          <w:rFonts w:ascii="맑은 고딕" w:cs="맑은 고딕" w:eastAsia="맑은 고딕" w:hAnsi="맑은 고딕"/>
          <w:b w:val="false"/>
          <w:bCs w:val="false"/>
          <w:i w:val="false"/>
          <w:iCs w:val="false"/>
          <w:sz w:val="21"/>
          <w:szCs w:val="21"/>
        </w:rPr>
        <w:t>재작업품은 원 배치의 이력을 보존한다. 제품 LOT 기준일은 재작업일로 자동 변경하지 않고 기존 실제 생산일을 유지하는 것을 기본으로 하며, 고객별 기준이 다르면 그 기준과 변경 근거를 기록한다. 합격 확인 전에는 새 제품 라벨을 발행하지 않는다.</w:t>
      </w:r>
    </w:p>
    <w:p>
      <w:pPr>
        <w:spacing w:after="120"/>
      </w:pPr>
      <w:r>
        <w:rPr>
          <w:rFonts w:ascii="맑은 고딕" w:cs="맑은 고딕" w:eastAsia="맑은 고딕" w:hAnsi="맑은 고딕"/>
          <w:b w:val="false"/>
          <w:bCs w:val="false"/>
          <w:i w:val="false"/>
          <w:iCs w:val="false"/>
          <w:sz w:val="21"/>
          <w:szCs w:val="21"/>
        </w:rPr>
        <w:t>고객 지정 라벨의 품번과 LOT 필드에는 해당 항목만 표시한다. 사내 복합 식별번호를 고객 LOT 필드에 임의로 넣지 않는다. 고객 양식에 배치 표시가 없으면 사내 보조 식별표 또는 박스 연결대장으로 연결하며, 고객 지정 표기를 가리거나 바꾸지 않는다.</w:t>
      </w:r>
      <w:r>
        <w:rPr>
          <w:rStyle w:val="CommentReference"/>
        </w:rPr>
      </w:r>
    </w:p>
    <w:p>
      <w:pPr>
        <w:pStyle w:val="Heading2"/>
        <w:spacing w:after="120" w:before="240"/>
      </w:pPr>
      <w:r>
        <w:rPr>
          <w:rFonts w:ascii="맑은 고딕" w:cs="맑은 고딕" w:eastAsia="맑은 고딕" w:hAnsi="맑은 고딕"/>
          <w:b/>
          <w:bCs/>
          <w:sz w:val="25"/>
          <w:szCs w:val="25"/>
        </w:rPr>
        <w:t xml:space="preserve">연도와 월 코드</w:t>
      </w:r>
    </w:p>
    <w:p>
      <w:pPr>
        <w:spacing w:after="120"/>
      </w:pPr>
      <w:r>
        <w:rPr>
          <w:rFonts w:ascii="맑은 고딕" w:cs="맑은 고딕" w:eastAsia="맑은 고딕" w:hAnsi="맑은 고딕"/>
          <w:b w:val="false"/>
          <w:bCs w:val="false"/>
          <w:i w:val="false"/>
          <w:iCs w:val="false"/>
          <w:sz w:val="21"/>
          <w:szCs w:val="21"/>
        </w:rPr>
        <w:t xml:space="preserve">일자리 코드와의 혼동을 줄이기 위해 알파벳 I, O, Q는 연/월/일 코드 전체에서 사용하지 않는다. I는 숫자 1과, O는 숫자 0과 혼동되기 쉽고, Q는 필기체에서 O와 혼동되기 쉽다.</w:t>
      </w:r>
    </w:p>
    <w:tbl>
      <w:tblPr>
        <w:tblW w:type="dxa" w:w="9090"/>
        <w:tblBorders>
          <w:top w:val="single" w:color="auto" w:sz="4"/>
          <w:left w:val="single" w:color="auto" w:sz="4"/>
          <w:bottom w:val="single" w:color="auto" w:sz="4"/>
          <w:right w:val="single" w:color="auto" w:sz="4"/>
          <w:insideH w:val="single" w:color="auto" w:sz="4"/>
          <w:insideV w:val="single" w:color="auto" w:sz="4"/>
        </w:tblBorders>
      </w:tblPr>
      <w:tblGrid>
        <w:gridCol w:w="1010"/>
        <w:gridCol w:w="1010"/>
        <w:gridCol w:w="1010"/>
        <w:gridCol w:w="1010"/>
        <w:gridCol w:w="1010"/>
        <w:gridCol w:w="1010"/>
        <w:gridCol w:w="1010"/>
        <w:gridCol w:w="1010"/>
        <w:gridCol w:w="1010"/>
      </w:tblGrid>
      <w:tr>
        <w:tc>
          <w:tcPr>
            <w:tcW w:type="dxa" w:w="101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연도</w:t>
            </w:r>
          </w:p>
        </w:tc>
        <w:tc>
          <w:tcPr>
            <w:tcW w:type="dxa" w:w="101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2022</w:t>
            </w:r>
          </w:p>
        </w:tc>
        <w:tc>
          <w:tcPr>
            <w:tcW w:type="dxa" w:w="101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2023</w:t>
            </w:r>
          </w:p>
        </w:tc>
        <w:tc>
          <w:tcPr>
            <w:tcW w:type="dxa" w:w="101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2024</w:t>
            </w:r>
          </w:p>
        </w:tc>
        <w:tc>
          <w:tcPr>
            <w:tcW w:type="dxa" w:w="101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2025</w:t>
            </w:r>
          </w:p>
        </w:tc>
        <w:tc>
          <w:tcPr>
            <w:tcW w:type="dxa" w:w="101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2026</w:t>
            </w:r>
          </w:p>
        </w:tc>
        <w:tc>
          <w:tcPr>
            <w:tcW w:type="dxa" w:w="101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2027</w:t>
            </w:r>
          </w:p>
        </w:tc>
        <w:tc>
          <w:tcPr>
            <w:tcW w:type="dxa" w:w="101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2028~2030</w:t>
            </w:r>
          </w:p>
        </w:tc>
      </w:tr>
      <w:tr>
        <w:tc>
          <w:tcPr>
            <w:tcW w:type="dxa" w:w="101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코드</w:t>
            </w:r>
          </w:p>
        </w:tc>
        <w:tc>
          <w:tcPr>
            <w:tcW w:type="dxa" w:w="101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R</w:t>
            </w:r>
          </w:p>
        </w:tc>
        <w:tc>
          <w:tcPr>
            <w:tcW w:type="dxa" w:w="101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S</w:t>
            </w:r>
          </w:p>
        </w:tc>
        <w:tc>
          <w:tcPr>
            <w:tcW w:type="dxa" w:w="101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T</w:t>
            </w:r>
          </w:p>
        </w:tc>
        <w:tc>
          <w:tcPr>
            <w:tcW w:type="dxa" w:w="101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U</w:t>
            </w:r>
          </w:p>
        </w:tc>
        <w:tc>
          <w:tcPr>
            <w:tcW w:type="dxa" w:w="101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V</w:t>
            </w:r>
          </w:p>
        </w:tc>
        <w:tc>
          <w:tcPr>
            <w:tcW w:type="dxa" w:w="101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W</w:t>
            </w:r>
          </w:p>
        </w:tc>
        <w:tc>
          <w:tcPr>
            <w:tcW w:type="dxa" w:w="101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X / Y / Z</w:t>
            </w:r>
          </w:p>
        </w:tc>
      </w:tr>
    </w:tbl>
    <w:p>
      <w:pPr>
        <w:spacing w:after="120"/>
      </w:pPr>
      <w:r>
        <w:rPr>
          <w:rFonts w:ascii="맑은 고딕" w:cs="맑은 고딕" w:eastAsia="맑은 고딕" w:hAnsi="맑은 고딕"/>
          <w:b w:val="false"/>
          <w:bCs w:val="false"/>
          <w:i/>
          <w:iCs/>
          <w:sz w:val="21"/>
          <w:szCs w:val="21"/>
        </w:rPr>
        <w:t xml:space="preserve">2031년 이후 연도 코드는 미정이다. 임의 연장하지 않고 적용 전 코드표를 개정한다.</w:t>
      </w:r>
    </w:p>
    <w:p>
      <w:pPr>
        <w:spacing w:after="120"/>
      </w:pPr>
      <w:r>
        <w:rPr>
          <w:rFonts w:ascii="맑은 고딕" w:cs="맑은 고딕" w:eastAsia="맑은 고딕" w:hAnsi="맑은 고딕"/>
          <w:b w:val="false"/>
          <w:bCs w:val="false"/>
          <w:i/>
          <w:iCs/>
          <w:sz w:val="21"/>
          <w:szCs w:val="21"/>
        </w:rPr>
        <w:t>코드체계 전환 기준  기존 체계는 LEGACY, 본 수정본 체계는 NEW로 구분한다. 문서 개정번호와 별개로 각 LOT 기록에 코드체계와 실제 생산일을 저장한다. 기존 월 코드는 A부터 L, 일 코드는 A부터 Z와 1부터 5이며, 새 월 및 일 코드는 본 문서의 코드표를 따른다.</w:t>
      </w:r>
      <w:r>
        <w:rPr>
          <w:rStyle w:val="CommentReference"/>
        </w:rPr>
      </w:r>
    </w:p>
    <w:p>
      <w:pPr>
        <w:spacing w:after="120"/>
      </w:pPr>
      <w:r>
        <w:rPr>
          <w:rFonts w:ascii="맑은 고딕" w:cs="맑은 고딕" w:eastAsia="맑은 고딕" w:hAnsi="맑은 고딕"/>
          <w:b w:val="false"/>
          <w:bCs w:val="false"/>
          <w:i/>
          <w:iCs/>
          <w:sz w:val="21"/>
          <w:szCs w:val="21"/>
        </w:rPr>
        <w:t>전환 시행일은 미확정이다. 프로그램의 구·신 코드 저장 및 조회, 라벨, 수기 양식, 교육자료를 함께 검증하고 담당자가 시행일을 지정하기 전까지 새 코드를 현장 발행하지 않는다. 코드표만 교체하여 과거 LOT를 새 규칙으로 재해석하지 않는다.</w:t>
      </w:r>
    </w:p>
    <w:p>
      <w:pPr>
        <w:spacing w:after="120"/>
      </w:pPr>
      <w:r>
        <w:rPr>
          <w:rFonts w:ascii="맑은 고딕" w:cs="맑은 고딕" w:eastAsia="맑은 고딕" w:hAnsi="맑은 고딕"/>
          <w:b w:val="false"/>
          <w:bCs w:val="false"/>
          <w:i/>
          <w:iCs/>
          <w:sz w:val="21"/>
          <w:szCs w:val="21"/>
        </w:rPr>
        <w:t>신규 생산분은 실제 생산일이 전환 시행일 이상인 경우 NEW를 적용하고, 그 이전 생산분은 LEGACY를 유지한다. 과거 생산분을 시행일 이후 검사하거나 포장해도 생산일 기준 체계를 유지한다. 시행일을 걸치는 작업은 생산일별 기록을 분리한다. 재작업품은 원 배치의 코드체계를 유지하고 새 배치순번으로 연결한다.</w:t>
      </w:r>
    </w:p>
    <w:p>
      <w:pPr>
        <w:spacing w:after="120"/>
      </w:pPr>
      <w:r>
        <w:rPr>
          <w:rFonts w:ascii="맑은 고딕" w:cs="맑은 고딕" w:eastAsia="맑은 고딕" w:hAnsi="맑은 고딕"/>
          <w:b w:val="false"/>
          <w:bCs w:val="false"/>
          <w:i/>
          <w:iCs/>
          <w:sz w:val="21"/>
          <w:szCs w:val="21"/>
        </w:rPr>
        <w:t>기존 미출하 재고, 이미 출하한 제품, 반품 및 보관 증빙의 LOT는 소급 변경하지 않는다. 기존 번호와 라벨을 보존하고 필요시 코드체계를 나타내는 사내 보조 식별표만 추가한다. 코드체계가 불명확한 기록은 원 작업일보와 생산일을 확인할 때까지 미확인으로 관리하며 날짜를 추정하지 않는다.</w:t>
      </w:r>
    </w:p>
    <w:p>
      <w:pPr>
        <w:spacing w:after="120"/>
      </w:pPr>
      <w:r>
        <w:rPr>
          <w:rFonts w:ascii="맑은 고딕" w:cs="맑은 고딕" w:eastAsia="맑은 고딕" w:hAnsi="맑은 고딕"/>
          <w:b w:val="false"/>
          <w:bCs w:val="false"/>
          <w:i/>
          <w:iCs/>
          <w:sz w:val="21"/>
          <w:szCs w:val="21"/>
        </w:rPr>
        <w:t>구·신 재고는 품번, 실제 생산일, 코드체계, 제품 LOT, 배치 및 보관 위치로 구분한다. 조회 시 LOT 문자열 하나만으로 재고나 검사 상태를 합치지 않는다. 기존 프로그램이 코드체계를 구분하지 못하면 해당 전환은 보류하고 시험 환경에서 기능 보완 후 재검증한다.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700"/>
        <w:gridCol w:w="700"/>
        <w:gridCol w:w="700"/>
        <w:gridCol w:w="700"/>
        <w:gridCol w:w="700"/>
        <w:gridCol w:w="700"/>
        <w:gridCol w:w="700"/>
        <w:gridCol w:w="700"/>
        <w:gridCol w:w="700"/>
        <w:gridCol w:w="700"/>
        <w:gridCol w:w="700"/>
      </w:tblGrid>
      <w:tr>
        <w:tc>
          <w:tcPr>
            <w:tcW w:type="dxa" w:w="8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월</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1</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2</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3</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4</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5</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6</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7</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8</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9</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10</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11</w:t>
            </w:r>
          </w:p>
        </w:tc>
        <w:tc>
          <w:tcPr>
            <w:tcW w:type="dxa" w:w="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12</w:t>
            </w:r>
          </w:p>
        </w:tc>
      </w:tr>
      <w:tr>
        <w:tc>
          <w:tcPr>
            <w:tcW w:type="dxa" w:w="8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코드</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A</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B</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C</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D</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E</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F</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G</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H</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J</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K</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L</w:t>
            </w:r>
          </w:p>
        </w:tc>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M</w:t>
            </w:r>
          </w:p>
        </w:tc>
      </w:tr>
    </w:tbl>
    <w:p>
      <w:pPr>
        <w:pStyle w:val="Heading2"/>
        <w:spacing w:after="120" w:before="240"/>
      </w:pPr>
      <w:r>
        <w:rPr>
          <w:rFonts w:ascii="맑은 고딕" w:cs="맑은 고딕" w:eastAsia="맑은 고딕" w:hAnsi="맑은 고딕"/>
          <w:b/>
          <w:bCs/>
          <w:sz w:val="25"/>
          <w:szCs w:val="25"/>
        </w:rPr>
        <w:t xml:space="preserve">일 코드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c>
          <w:tcPr>
            <w:tcW w:type="dxa" w:w="15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일</w:t>
            </w:r>
          </w:p>
        </w:tc>
        <w:tc>
          <w:tcPr>
            <w:tcW w:type="dxa" w:w="78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코드</w:t>
            </w:r>
          </w:p>
        </w:tc>
      </w:tr>
      <w:tr>
        <w:tc>
          <w:tcPr>
            <w:tcW w:type="dxa" w:w="15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 ~ 23</w:t>
            </w:r>
          </w:p>
        </w:tc>
        <w:tc>
          <w:tcPr>
            <w:tcW w:type="dxa" w:w="78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A B C D E F G H J K L M N P R S T U V W X Y Z (23자, I·O·Q 제외 순서대로 부여)</w:t>
            </w:r>
          </w:p>
        </w:tc>
      </w:tr>
      <w:tr>
        <w:tc>
          <w:tcPr>
            <w:tcW w:type="dxa" w:w="15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24 ~ 31</w:t>
            </w:r>
          </w:p>
        </w:tc>
        <w:tc>
          <w:tcPr>
            <w:tcW w:type="dxa" w:w="78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1 2 3 4 5 6 7 8</w:t>
            </w:r>
          </w:p>
        </w:tc>
      </w:tr>
    </w:tbl>
    <w:p>
      <w:pPr>
        <w:spacing w:after="120"/>
      </w:pPr>
      <w:r>
        <w:rPr>
          <w:rFonts w:ascii="맑은 고딕" w:cs="맑은 고딕" w:eastAsia="맑은 고딕" w:hAnsi="맑은 고딕"/>
          <w:b w:val="false"/>
          <w:bCs w:val="false"/>
          <w:i w:val="false"/>
          <w:iCs w:val="false"/>
          <w:sz w:val="21"/>
          <w:szCs w:val="21"/>
        </w:rPr>
        <w:t>예시 2026년 9월 15일 생산 → V + J + R → VJR. 새 코드체계는 I, O, Q를 제외하여 문자와 숫자의 혼동 가능성을 줄인다. 제품 생산일과 검사일 또는 포장일이 다르면 실제 생산일을 사용한다.</w:t>
      </w:r>
    </w:p>
    <w:p>
      <w:pPr>
        <w:spacing w:after="120"/>
      </w:pPr>
      <w:r>
        <w:rPr>
          <w:rFonts w:ascii="맑은 고딕" w:cs="맑은 고딕" w:eastAsia="맑은 고딕" w:hAnsi="맑은 고딕"/>
          <w:b w:val="false"/>
          <w:bCs w:val="false"/>
          <w:i w:val="false"/>
          <w:iCs w:val="false"/>
          <w:sz w:val="21"/>
          <w:szCs w:val="21"/>
        </w:rPr>
        <w:t xml:space="preserve">날짜 경계를 넘는 작업은 실제 생산일별 기록을 분리하는 것을 제안하며, 교대조 기준일을 별도로 사용할 경우 먼저 기준을 확정한다.</w:t>
      </w:r>
    </w:p>
    <w:p>
      <w:pPr>
        <w:spacing w:after="120"/>
      </w:pPr>
      <w:r>
        <w:rPr>
          <w:rFonts w:ascii="맑은 고딕" w:cs="맑은 고딕" w:eastAsia="맑은 고딕" w:hAnsi="맑은 고딕"/>
          <w:b w:val="false"/>
          <w:bCs w:val="false"/>
          <w:i w:val="false"/>
          <w:iCs w:val="false"/>
          <w:sz w:val="21"/>
          <w:szCs w:val="21"/>
        </w:rPr>
        <w:t xml:space="preserve">같은 날짜의 3자리 LOT는 다른 품번에도 반복된다. 따라서 코드만으로 품목이나 배치를 합치지 않는다. 동일 품번과 날짜라도 자재 변경, 별도 작업지시, 또는 복수 배치가 있으면 배치번호로 구분하고 연결 기록을 분리한다.</w:t>
      </w:r>
    </w:p>
    <w:p>
      <w:pPr>
        <w:pStyle w:val="Heading1"/>
        <w:spacing w:after="160" w:before="320"/>
      </w:pPr>
      <w:r>
        <w:rPr>
          <w:rFonts w:ascii="맑은 고딕" w:cs="맑은 고딕" w:eastAsia="맑은 고딕" w:hAnsi="맑은 고딕"/>
          <w:b/>
          <w:bCs/>
          <w:sz w:val="30"/>
          <w:szCs w:val="30"/>
        </w:rPr>
        <w:t xml:space="preserve">2  입고부터 공정 이동까지의 기록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00"/>
      </w:tblGrid>
      <w:tr>
        <w:tc>
          <w:tcPr>
            <w:tcW w:type="dxa" w:w="19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단계</w:t>
            </w:r>
          </w:p>
        </w:tc>
        <w:tc>
          <w:tcPr>
            <w:tcW w:type="dxa" w:w="3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현장 처리</w:t>
            </w:r>
          </w:p>
        </w:tc>
        <w:tc>
          <w:tcPr>
            <w:tcW w:type="dxa" w:w="40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남길 연결 기록</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 원자재 입고
2 부자재 입고</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거래명세와 실물의 품번, 수량, 공급사 LOT 대조. 입고검사 전에는 검사대기 식별.</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입고번호, 공급사 LOT, 입고일, 수량</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입고검사와 식별</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판정은 해당 품목의 검사기준 적용. 합격품에 보관용 식별표 부착.</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검사기록번호, 판정, 검사일, 검사자, 내부 입고번호 및 연결된 공급사 LOT</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3 자재창고 보관</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품번, LOT, 위치별 분리. 합격 상태의 먼저 입고된 자재부터 투입.</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보관 위치, 입고일, 잔량, 출고일. FIFO 예외가 있으면 사유</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4 생산 투입과 공정</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작업지시서 기준 자재 투입. 밴딩, 포밍, 조립 등 실제 공정 기록.</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작업지시번호, 자재 LOT, 투입량, 공정, 설비, 작업자, 양품/불량 수량</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5 세척대기
6 세척 완료품 입고</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세척 전후 재공품 식별 유지. 외주이면 반출과 회수 대조.</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작업지시번호, 이전 공정 기록, 반출/회수 수량, 세척 이력</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공정 간 이동</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인계자와 인수자가 식별표 및 수량 대조. 무표시 용기 또는 혼입은 보류.</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이전 및 다음 공정, 위치, 일시, 작업지시번호, 이동량, 담당자</w:t>
            </w:r>
          </w:p>
        </w:tc>
      </w:tr>
    </w:tbl>
    <w:p>
      <w:pPr>
        <w:pStyle w:val="Heading2"/>
        <w:spacing w:after="120" w:before="240"/>
      </w:pPr>
      <w:r>
        <w:t>공급사 LOT 불일치와 훼손 처리</w:t>
      </w:r>
    </w:p>
    <w:p>
      <w:pPr>
        <w:spacing w:after="120"/>
      </w:pPr>
      <w:r>
        <w:t>공급사 LOT의 바코드 훼손, 거래명세와 실물의 불일치 또는 오기가 발견되면 해당 자재를 미확인 상태로 보류하고 격리한다. 보류품을 관리할 내부 입고번호는 정상 부여하되 이를 공급사 LOT의 대체값이나 합격 증빙으로 사용하지 않는다.</w:t>
      </w:r>
    </w:p>
    <w:p>
      <w:pPr>
        <w:spacing w:after="120"/>
      </w:pPr>
      <w:r>
        <w:t>공급사 LOT는 임의 추정하거나 덮어쓰지 않는다. 라벨 사진, 거래명세, 입고번호와 공급사 확인 자료를 확보하고 원문 값과 확인된 정정값을 함께 보존한다. 공급사 회신 또는 대체 근거로 확인할 수 없으면 미확인 상태를 유지한다.</w:t>
      </w:r>
    </w:p>
    <w:p>
      <w:pPr>
        <w:spacing w:after="120"/>
      </w:pPr>
      <w:r>
        <w:t>품질 담당 권한자는 공급사 확인 자료와 실물을 대조한 후 공급사 LOT와 내부 입고번호의 연결을 확정하고 사유, 확인일, 확인자를 기록한다. 식별 확인은 입고검사 합격을 대신하지 않으며, 투입 전 필요한 검사 결과도 확인한다.</w:t>
      </w:r>
    </w:p>
    <w:p>
      <w:pPr>
        <w:pStyle w:val="Heading2"/>
        <w:spacing w:after="120" w:before="240"/>
      </w:pPr>
      <w:r>
        <w:rPr>
          <w:rFonts w:ascii="맑은 고딕" w:cs="맑은 고딕" w:eastAsia="맑은 고딕" w:hAnsi="맑은 고딕"/>
          <w:b/>
          <w:bCs/>
          <w:sz w:val="25"/>
          <w:szCs w:val="25"/>
        </w:rPr>
        <w:t xml:space="preserve">현장 인계 시 필수 확인</w:t>
      </w:r>
    </w:p>
    <w:p>
      <w:pPr>
        <w:spacing w:after="120"/>
      </w:pPr>
      <w:r>
        <w:rPr>
          <w:rFonts w:ascii="맑은 고딕" w:cs="맑은 고딕" w:eastAsia="맑은 고딕" w:hAnsi="맑은 고딕"/>
          <w:b w:val="false"/>
          <w:bCs w:val="false"/>
          <w:i w:val="false"/>
          <w:iCs w:val="false"/>
          <w:sz w:val="21"/>
          <w:szCs w:val="21"/>
        </w:rPr>
        <w:t xml:space="preserve">품번과 LOT가 실물 표시와 같은지, 수량이 맞는지, 품질 상태가 다음 공정 진행 가능한 상태인지 확인한다. 전산 또는 수기 기록을 완료한 뒤 인계한다. 인계용 식별표에는 품번, 자재 LOT 또는 작업지시번호, 수량, 공정, 상태를 읽기 쉽게 표시한다.</w:t>
      </w:r>
    </w:p>
    <w:p>
      <w:pPr>
        <w:pStyle w:val="Heading2"/>
        <w:spacing w:after="120" w:before="240"/>
      </w:pPr>
      <w:r>
        <w:rPr>
          <w:rFonts w:ascii="맑은 고딕" w:cs="맑은 고딕" w:eastAsia="맑은 고딕" w:hAnsi="맑은 고딕"/>
          <w:b/>
          <w:bCs/>
          <w:sz w:val="25"/>
          <w:szCs w:val="25"/>
        </w:rPr>
        <w:t xml:space="preserve">분할과 혼합 처리</w:t>
      </w:r>
    </w:p>
    <w:p>
      <w:pPr>
        <w:spacing w:after="120"/>
      </w:pPr>
      <w:r>
        <w:rPr>
          <w:rFonts w:ascii="맑은 고딕" w:cs="맑은 고딕" w:eastAsia="맑은 고딕" w:hAnsi="맑은 고딕"/>
          <w:b w:val="false"/>
          <w:bCs w:val="false"/>
          <w:i w:val="false"/>
          <w:iCs w:val="false"/>
          <w:sz w:val="21"/>
          <w:szCs w:val="21"/>
        </w:rPr>
        <w:t xml:space="preserve">한 자재 LOT를 여러 작업지시에 나누어 쓰면 작업지시별 투입량을 각각 남긴다. 여러 자재 LOT를 한 작업에 사용할 때에는 모든 투입 LOT와 수량을 별도 행으로 기록한다. 추적이 불가능한 무기록 혼합은 금지한다. 프로그램에서 분할 또는 혼합 연결을 지원하지 않으면 연결대장으로 관리한 후 검증된 방식으로 반영한다.</w:t>
      </w:r>
    </w:p>
    <w:p>
      <w:pPr>
        <w:pStyle w:val="Heading1"/>
        <w:spacing w:after="160" w:before="320"/>
      </w:pPr>
      <w:r>
        <w:rPr>
          <w:rFonts w:ascii="맑은 고딕" w:cs="맑은 고딕" w:eastAsia="맑은 고딕" w:hAnsi="맑은 고딕"/>
          <w:b/>
          <w:bCs/>
          <w:sz w:val="30"/>
          <w:szCs w:val="30"/>
        </w:rPr>
        <w:t xml:space="preserve">3  검사 후 제품 LOT와 출하 관리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00"/>
      </w:tblGrid>
      <w:tr>
        <w:tc>
          <w:tcPr>
            <w:tcW w:type="dxa" w:w="19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공정 순서</w:t>
            </w:r>
          </w:p>
        </w:tc>
        <w:tc>
          <w:tcPr>
            <w:tcW w:type="dxa" w:w="3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처리 기준</w:t>
            </w:r>
          </w:p>
        </w:tc>
        <w:tc>
          <w:tcPr>
            <w:tcW w:type="dxa" w:w="40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필수 증빙</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7 조립검사</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조립 완료품을 작업지시번호로 식별. 조립 상태를 지정 검사기준으로 확인.</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작업지시번호, 검사일, 검사자, 검사항목, 결과, 수량</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8 차압검사</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해당 품목의 정해진 조건으로 검사. 부적합은 합격품과 분리.</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검사기록번호, 측정값, 판정, 설비 또는 검사기 식별</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9 검사대기와 검사</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대기품은 출하 가능품과 분리. 필요 검사 전체 완료 여부 확인.</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검사대기 상태, 최종 판정, 부적합과 보류 수량</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합격품 LOT 부여
라벨 부착</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합격 확인 후 실제 생산일 코드 부여. 품번, 작업지시, 배치번호와 연결.</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제품 LOT, 검사기록번호, 라벨 대조 확인 기록</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10 포장</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라벨과 실물 품번, 수량 대조 후 포장. 박스별 배치 및 제품 LOT 기록.</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포장번호, 제품 LOT, 배치, 포장일, 포장수량, 작업자</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11 완제품 보관</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품번, LOT, 위치별 관리. 검사 합격 상태와 재고 잔량 유지.</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창고 위치, 입고량, 출고량, 잔량</w:t>
            </w:r>
          </w:p>
        </w:tc>
      </w:tr>
      <w:tr>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출하와 고객 인도</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출하검사 합격과 출고 가능 수량 확인. 고객 문서와 실물 최종 대조.</w:t>
            </w:r>
          </w:p>
        </w:tc>
        <w:tc>
          <w:tcPr>
            <w:tcW w:type="dxa" w:w="4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출하검사 기록, 출하번호, 고객, 제품 LOT, 박스번호, 수량, 인도 증빙</w:t>
            </w:r>
          </w:p>
        </w:tc>
      </w:tr>
    </w:tbl>
    <w:p>
      <w:pPr>
        <w:pStyle w:val="Heading2"/>
        <w:spacing w:after="120" w:before="240"/>
      </w:pPr>
      <w:r>
        <w:rPr>
          <w:rFonts w:ascii="맑은 고딕" w:cs="맑은 고딕" w:eastAsia="맑은 고딕" w:hAnsi="맑은 고딕"/>
          <w:b/>
          <w:bCs/>
          <w:sz w:val="25"/>
          <w:szCs w:val="25"/>
        </w:rPr>
        <w:t xml:space="preserve">출하 중지 조건</w:t>
      </w:r>
    </w:p>
    <w:p>
      <w:pPr>
        <w:spacing w:after="120"/>
      </w:pPr>
      <w:r>
        <w:rPr>
          <w:rFonts w:ascii="맑은 고딕" w:cs="맑은 고딕" w:eastAsia="맑은 고딕" w:hAnsi="맑은 고딕"/>
          <w:b w:val="false"/>
          <w:bCs w:val="false"/>
          <w:i w:val="false"/>
          <w:iCs w:val="false"/>
          <w:sz w:val="21"/>
          <w:szCs w:val="21"/>
        </w:rPr>
        <w:t xml:space="preserve">품번 또는 LOT 누락, LOT 연결 불명, 검사 미완료 또는 불합격, 보류나 격리 미해제, 라벨 불일치, 출하수량 초과, 필요한 출하검사 증빙 누락 중 하나라도 있으면 출하하지 않는다. 단순히 입력란을 채웠다는 이유로 출하 가능으로 판단하지 않는다.</w:t>
      </w:r>
    </w:p>
    <w:p>
      <w:pPr>
        <w:spacing w:after="120"/>
      </w:pPr>
      <w:r>
        <w:rPr>
          <w:rFonts w:ascii="맑은 고딕" w:cs="맑은 고딕" w:eastAsia="맑은 고딕" w:hAnsi="맑은 고딕"/>
          <w:b w:val="false"/>
          <w:bCs w:val="false"/>
          <w:i w:val="false"/>
          <w:iCs w:val="false"/>
          <w:sz w:val="21"/>
          <w:szCs w:val="21"/>
        </w:rPr>
        <w:t xml:space="preserve">합격품 검사와 출하검사는 구분한다. 제품 LOT 부여 전 검사 합격만으로 출하검사 합격을 대신하지 않는다. 검사 수치와 허용기준은 제품별 검사기준서에 따르며 이 문서에서 임의 설정하지 않는다.</w:t>
      </w:r>
    </w:p>
    <w:p>
      <w:pPr>
        <w:pStyle w:val="Heading1"/>
        <w:spacing w:after="160" w:before="320"/>
      </w:pPr>
      <w:r>
        <w:rPr>
          <w:rFonts w:ascii="맑은 고딕" w:cs="맑은 고딕" w:eastAsia="맑은 고딕" w:hAnsi="맑은 고딕"/>
          <w:b/>
          <w:bCs/>
          <w:sz w:val="30"/>
          <w:szCs w:val="30"/>
        </w:rPr>
        <w:t xml:space="preserve">4  예외 처리와 담당 역할</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00"/>
      </w:tblGrid>
      <w:tr>
        <w:tc>
          <w:tcPr>
            <w:tcW w:type="dxa" w:w="20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상황</w:t>
            </w:r>
          </w:p>
        </w:tc>
        <w:tc>
          <w:tcPr>
            <w:tcW w:type="dxa" w:w="37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즉시 조치</w:t>
            </w:r>
          </w:p>
        </w:tc>
        <w:tc>
          <w:tcPr>
            <w:tcW w:type="dxa" w:w="39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재개 조건과 기록</w:t>
            </w:r>
          </w:p>
        </w:tc>
      </w:tr>
      <w:tr>
        <w:tc>
          <w:tcPr>
            <w:tcW w:type="dxa" w:w="2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LOT 라벨 누락 또는 훼손</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해당품 보류 격리. 원기록 대조 전 추정 재발행 금지. 훼손 라벨은 회수하고 분실 라벨은 회수 불가 사유 기록.</w:t>
            </w:r>
          </w:p>
        </w:tc>
        <w:tc>
          <w:tcPr>
            <w:tcW w:type="dxa" w:w="3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원기록과 실물로 식별 확정 후 재발행. 원라벨 무효 처리, 재발행 번호와 수량, 사유, 일시, 담당자 및 권한자 확인 기록.</w:t>
            </w:r>
          </w:p>
        </w:tc>
      </w:tr>
      <w:tr>
        <w:tc>
          <w:tcPr>
            <w:tcW w:type="dxa" w:w="2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출하검사 부적합</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출고 차단 및 대상 재고 격리. 관련 배치와 박스 범위 확인.</w:t>
            </w:r>
          </w:p>
        </w:tc>
        <w:tc>
          <w:tcPr>
            <w:tcW w:type="dxa" w:w="3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품질 담당자가 재검 결과 확인. 판정 이력과 처리 근거 보존</w:t>
            </w:r>
          </w:p>
        </w:tc>
      </w:tr>
      <w:tr>
        <w:tc>
          <w:tcPr>
            <w:tcW w:type="dxa" w:w="2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생산 중 불량 또는 재작업</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불량 수량 분리. 기존 연결을 삭제하지 않음.</w:t>
            </w:r>
          </w:p>
        </w:tc>
        <w:tc>
          <w:tcPr>
            <w:tcW w:type="dxa" w:w="3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원 작업지시와 재작업 기록 연결. 재검 합격 수량만 다음 단계 이동</w:t>
            </w:r>
          </w:p>
        </w:tc>
      </w:tr>
      <w:tr>
        <w:tc>
          <w:tcPr>
            <w:tcW w:type="dxa" w:w="2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오사용 또는 LOT 혼입</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관련 재공품과 완제품 보류. 영향 범위 조사.</w:t>
            </w:r>
          </w:p>
        </w:tc>
        <w:tc>
          <w:tcPr>
            <w:tcW w:type="dxa" w:w="3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사용 자재부터 출하처까지 확인. 처리 결정 근거와 수량 기록</w:t>
            </w:r>
          </w:p>
        </w:tc>
      </w:tr>
      <w:tr>
        <w:tc>
          <w:tcPr>
            <w:tcW w:type="dxa" w:w="2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반품 또는 출하 후 불량</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반품 격리 및 출하 이력 조회. 고객 대응 담당자에게 공유.</w:t>
            </w:r>
          </w:p>
        </w:tc>
        <w:tc>
          <w:tcPr>
            <w:tcW w:type="dxa" w:w="3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원 출하번호와 반품 기록 연결. 재출하 시 새 출하 기록 작성</w:t>
            </w:r>
          </w:p>
        </w:tc>
      </w:tr>
      <w:tr>
        <w:tc>
          <w:tcPr>
            <w:tcW w:type="dxa" w:w="2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전산 장애 또는 입력 오류</w:t>
            </w:r>
          </w:p>
        </w:tc>
        <w:tc>
          <w:tcPr>
            <w:tcW w:type="dxa" w:w="3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수기 연결대장 사용. 오류 기록 임의 삭제 금지.</w:t>
            </w:r>
          </w:p>
        </w:tc>
        <w:tc>
          <w:tcPr>
            <w:tcW w:type="dxa" w:w="3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복구 후 중복 여부 확인하여 입력. 정정 전후 값, 사유, 작성자 보존</w:t>
            </w:r>
          </w:p>
        </w:tc>
      </w:tr>
    </w:tbl>
    <w:p>
      <w:pPr>
        <w:pStyle w:val="Heading2"/>
        <w:spacing w:after="120" w:before="240"/>
      </w:pPr>
      <w:r>
        <w:t>라벨 회수와 재발행 통제</w:t>
      </w:r>
    </w:p>
    <w:p>
      <w:pPr>
        <w:spacing w:after="120"/>
      </w:pPr>
      <w:r>
        <w:t>훼손 라벨은 판독 가능한 사진 또는 원발행 정보를 먼저 보존한 뒤 회수·폐기하고 수량과 처리자를 기록한다. 분실 등으로 회수가 불가능하면 사유와 영향 범위를 기록하고 원라벨이 재사용되지 않도록 무효 처리 및 현장 공유를 한다. 물리적으로 회수하지 못한 라벨을 회수 완료로 기록하지 않는다.</w:t>
      </w:r>
    </w:p>
    <w:p>
      <w:pPr>
        <w:spacing w:after="120"/>
      </w:pPr>
      <w:r>
        <w:t>재발행 라벨은 동일 품목과 배치를 유지하며 새로운 생산 LOT를 만들어 대체하지 않는다. 권한자는 실물과 원발행 이력을 대조하고 발행번호, 대상 박스 또는 용기, 재발행 수량, 사유, 발행자, 확인자, 일시를 기록한다. 중복 부착과 중복 출하 여부를 확인하고 발견된 구라벨은 회수한다.</w:t>
      </w:r>
    </w:p>
    <w:p>
      <w:pPr>
        <w:spacing w:after="120"/>
      </w:pPr>
      <w:r>
        <w:t>Re-print 표시는 사내 라벨 또는 재발행 대장에 남긴다. 고객 지정 라벨에 표시를 추가하려면 고객 요구사항을 먼저 확인하며, 확인 전 고객 바코드와 인쇄 항목을 변경하지 않는다. 원라벨 번호가 없다면 입고 또는 포장 기록번호와 사진 등으로 원발행 대상과 연결한다.</w:t>
      </w:r>
    </w:p>
    <w:p>
      <w:pPr>
        <w:pStyle w:val="Heading2"/>
        <w:spacing w:after="120" w:before="240"/>
      </w:pPr>
      <w:r>
        <w:rPr>
          <w:rFonts w:ascii="맑은 고딕" w:cs="맑은 고딕" w:eastAsia="맑은 고딕" w:hAnsi="맑은 고딕"/>
          <w:b/>
          <w:bCs/>
          <w:sz w:val="25"/>
          <w:szCs w:val="25"/>
        </w:rPr>
        <w:t xml:space="preserve">역할별 책임</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담당 역할</w:t>
            </w:r>
          </w:p>
        </w:tc>
        <w:tc>
          <w:tcPr>
            <w:tcW w:type="dxa" w:w="73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책임</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자재 담당</w:t>
            </w:r>
          </w:p>
        </w:tc>
        <w:tc>
          <w:tcPr>
            <w:tcW w:type="dxa" w:w="7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입고 검사상태 확인, 식별, 보관, FIFO 및 자재 LOT 투입 기록</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생산 담당</w:t>
            </w:r>
          </w:p>
        </w:tc>
        <w:tc>
          <w:tcPr>
            <w:tcW w:type="dxa" w:w="7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작업지시와 자재 연결, 공정 이동, 세척, 조립 및 수량 기록</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품질 담당</w:t>
            </w:r>
          </w:p>
        </w:tc>
        <w:tc>
          <w:tcPr>
            <w:tcW w:type="dxa" w:w="7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검사 판정, 격리와 재검 결과 확인, 출하검사 증빙 관리</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포장 및 출하 담당</w:t>
            </w:r>
          </w:p>
        </w:tc>
        <w:tc>
          <w:tcPr>
            <w:tcW w:type="dxa" w:w="7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합격과 라벨 대조, 박스별 연결, 출하처 및 수량 기록</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시스템 관리자</w:t>
            </w:r>
          </w:p>
        </w:tc>
        <w:tc>
          <w:tcPr>
            <w:tcW w:type="dxa" w:w="7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사용자 구분, 백업 복원 점검, 정정 이력과 자료 보존</w:t>
            </w:r>
          </w:p>
        </w:tc>
      </w:tr>
    </w:tbl>
    <w:p>
      <w:pPr>
        <w:spacing w:after="120"/>
      </w:pPr>
      <w:r>
        <w:rPr>
          <w:rFonts w:ascii="맑은 고딕" w:cs="맑은 고딕" w:eastAsia="맑은 고딕" w:hAnsi="맑은 고딕"/>
          <w:b w:val="false"/>
          <w:bCs w:val="false"/>
          <w:i w:val="false"/>
          <w:iCs w:val="false"/>
          <w:sz w:val="21"/>
          <w:szCs w:val="21"/>
        </w:rPr>
        <w:t>담당자 실명과 대체 담당자는 시행 전에 지정한다. 일반 입고·생산·포장·출하 입력에 별도 결재를 추가하지 않는다. 다만 품질 보류 또는 미확인 해제와 라벨 재발행은 다음 예외 권한 기준을 적용하고 확인자 및 근거를 남긴다. 공용 이름만으로 실제 수행자를 대신하지 않는다.</w:t>
      </w:r>
    </w:p>
    <w:p>
      <w:pPr>
        <w:pStyle w:val="Heading1"/>
        <w:spacing w:after="160" w:before="320"/>
      </w:pPr>
      <w:r>
        <w:rPr>
          <w:rFonts w:ascii="맑은 고딕" w:cs="맑은 고딕" w:eastAsia="맑은 고딕" w:hAnsi="맑은 고딕"/>
          <w:b/>
          <w:bCs/>
          <w:sz w:val="30"/>
          <w:szCs w:val="30"/>
        </w:rPr>
        <w:t xml:space="preserve">5  전산 및 수기 기록과 추적 확인</w:t>
      </w:r>
    </w:p>
    <w:p>
      <w:pPr>
        <w:pStyle w:val="Heading2"/>
        <w:spacing w:after="120" w:before="240"/>
      </w:pPr>
      <w:r>
        <w:rPr>
          <w:rFonts w:ascii="맑은 고딕" w:cs="맑은 고딕" w:eastAsia="맑은 고딕" w:hAnsi="맑은 고딕"/>
          <w:b/>
          <w:bCs/>
          <w:sz w:val="25"/>
          <w:szCs w:val="25"/>
        </w:rPr>
        <w:t xml:space="preserve">프로그램 입력 순서</w:t>
      </w:r>
    </w:p>
    <w:p>
      <w:pPr>
        <w:spacing w:after="120"/>
      </w:pPr>
      <w:r>
        <w:rPr>
          <w:rFonts w:ascii="맑은 고딕" w:cs="맑은 고딕" w:eastAsia="맑은 고딕" w:hAnsi="맑은 고딕"/>
          <w:b w:val="false"/>
          <w:bCs w:val="false"/>
          <w:i w:val="false"/>
          <w:iCs w:val="false"/>
          <w:sz w:val="21"/>
          <w:szCs w:val="21"/>
        </w:rPr>
        <w:t xml:space="preserve">원부자재 입고 → 자재와 작업지시 연결 → 공정 이동 및 작업 기록 → 제품 LOT 없이 검사 기록 → 합격품 LOT 등록 → 생산 배치와 포장번호 연결 → 출하검사 → 출하 입력 순서로 진행한다. 실제 메뉴명은 적용 버전에서 확인한다.</w:t>
      </w:r>
    </w:p>
    <w:p>
      <w:pPr>
        <w:spacing w:after="120"/>
      </w:pPr>
      <w:r>
        <w:rPr>
          <w:rFonts w:ascii="맑은 고딕" w:cs="맑은 고딕" w:eastAsia="맑은 고딕" w:hAnsi="맑은 고딕"/>
          <w:b w:val="false"/>
          <w:bCs w:val="false"/>
          <w:i w:val="false"/>
          <w:iCs w:val="false"/>
          <w:sz w:val="21"/>
          <w:szCs w:val="21"/>
        </w:rPr>
        <w:t xml:space="preserve">보완 시험본에는 검사 후 LOT 등록 흐름을 반영했으나 운영본 적용 여부는 별도 확인 대상이다. 자동 FIFO, 설비 자동수집, 자동 분할과 혼합 연결, 사용자 권한 통제는 이 기준서 작성만으로 구현되는 기능이 아니다. 미지원 항목은 수기 대장으로 통제하고 적용 전 검증한다.</w:t>
      </w:r>
    </w:p>
    <w:p>
      <w:pPr>
        <w:pStyle w:val="Heading2"/>
        <w:spacing w:after="120" w:before="240"/>
      </w:pPr>
      <w:r>
        <w:rPr>
          <w:rFonts w:ascii="맑은 고딕" w:cs="맑은 고딕" w:eastAsia="맑은 고딕" w:hAnsi="맑은 고딕"/>
          <w:b/>
          <w:bCs/>
          <w:sz w:val="25"/>
          <w:szCs w:val="25"/>
        </w:rPr>
        <w:t xml:space="preserve">수기 기록 공통 작성 기준</w:t>
      </w:r>
    </w:p>
    <w:p>
      <w:pPr>
        <w:spacing w:after="120"/>
      </w:pPr>
      <w:r>
        <w:rPr>
          <w:rFonts w:ascii="맑은 고딕" w:cs="맑은 고딕" w:eastAsia="맑은 고딕" w:hAnsi="맑은 고딕"/>
          <w:b w:val="false"/>
          <w:bCs w:val="false"/>
          <w:i w:val="false"/>
          <w:iCs w:val="false"/>
          <w:sz w:val="21"/>
          <w:szCs w:val="21"/>
        </w:rPr>
        <w:t xml:space="preserve">모든 양식에 기록번호, 일시, 품번, 이전 LOT 또는 작업지시번호, 다음 식별번호, 수량과 단위, 상태, 작성자, 근거 문서번호를 남긴다.</w:t>
      </w:r>
    </w:p>
    <w:p>
      <w:pPr>
        <w:spacing w:after="120"/>
      </w:pPr>
      <w:r>
        <w:rPr>
          <w:rFonts w:ascii="맑은 고딕" w:cs="맑은 고딕" w:eastAsia="맑은 고딕" w:hAnsi="맑은 고딕"/>
          <w:b w:val="false"/>
          <w:bCs w:val="false"/>
          <w:i w:val="false"/>
          <w:iCs w:val="false"/>
          <w:sz w:val="21"/>
          <w:szCs w:val="21"/>
        </w:rPr>
        <w:t>해당없음은 '-'로 표기하고, 아직 확인되지 않은 항목은 '미확인'으로 표시한다. 숫자나 날짜만 입력 가능한 전산 칸은 비워 두되 별도 확인상태를 '미확인'으로 지정하고 사유, 확인 담당자 및 예정일을 기록한다. 공란만으로 완료 처리하지 않는다. 숫자 0은 실제 수량이 0인 경우에만 사용한다. 정정은 원문을 읽을 수 있게 한 줄로 긋고 정정값, 사유, 날짜, 작성자를 남긴다.</w:t>
      </w:r>
      <w:r>
        <w:rPr>
          <w:rStyle w:val="CommentReference"/>
        </w:rPr>
      </w:r>
    </w:p>
    <w:p>
      <w:pPr>
        <w:spacing w:after="120"/>
      </w:pPr>
      <w:r>
        <w:rPr>
          <w:rFonts w:ascii="맑은 고딕" w:cs="맑은 고딕" w:eastAsia="맑은 고딕" w:hAnsi="맑은 고딕"/>
          <w:b w:val="false"/>
          <w:bCs w:val="false"/>
          <w:i w:val="false"/>
          <w:iCs w:val="false"/>
          <w:sz w:val="21"/>
          <w:szCs w:val="21"/>
        </w:rPr>
        <w:t>다음 단계에서 필요한 품번, LOT 또는 작업지시 연결, 수량, 필수 검사결과가 미확인이면 정상 인계나 출하를 중지한다. 안전한 격리 장소로의 이동은 미확인 상태를 유지하여 별도 이동 기록으로 남긴다. 고객 증빙과 실물 대조로 확인한 뒤 담당자와 확인일을 기록하고 상태를 갱신한다.</w:t>
      </w:r>
    </w:p>
    <w:p>
      <w:pPr>
        <w:spacing w:after="120"/>
      </w:pPr>
      <w:r>
        <w:rPr>
          <w:rFonts w:ascii="맑은 고딕" w:cs="맑은 고딕" w:eastAsia="맑은 고딕" w:hAnsi="맑은 고딕"/>
          <w:b w:val="false"/>
          <w:bCs w:val="false"/>
          <w:i w:val="false"/>
          <w:iCs w:val="false"/>
          <w:sz w:val="21"/>
          <w:szCs w:val="21"/>
        </w:rPr>
        <w:t>미확인 및 보류 해제 권한  문서번호나 첨부 누락처럼 품질 판정과 LOT 연결을 바꾸지 않는 단순 보완은 해당 업무 담당자가 원증빙 확인 후 정정한다. 품번, LOT 연결, 수량 또는 검사 상태처럼 추적과 출하 판단에 영향을 주는 미확인 해제는 업무별 지정 권한자가 근거를 확인한다. 품질 보류·부적합 해제는 품질 담당 권한자가 재검 및 처리 결과를 확인한다.</w:t>
      </w:r>
    </w:p>
    <w:p>
      <w:pPr>
        <w:spacing w:after="120"/>
      </w:pPr>
      <w:commentRangeStart w:id="0"/>
      <w:r>
        <w:rPr>
          <w:rFonts w:ascii="맑은 고딕" w:cs="맑은 고딕" w:eastAsia="맑은 고딕" w:hAnsi="맑은 고딕"/>
          <w:b w:val="false"/>
          <w:bCs w:val="false"/>
          <w:i w:val="false"/>
          <w:iCs w:val="false"/>
          <w:sz w:val="21"/>
          <w:szCs w:val="21"/>
        </w:rPr>
        <w:t>팀장 직급 자체를 모든 보완의 필수 승인 조건으로 두지 않는다. 생산 담당자가 품질 보류를 단독 해제하지 않으며, 지정 권한자 부재 시 사전에 지정한 대체자가 확인한다. 확인 전후 상태, 사유, 원증빙 번호, 처리자와 확인자, 일시를 보존한다. 권한자 확인만으로 불합격품을 합격 처리하거나 필요한 검사를 생략하지 않는다.</w:t>
      </w:r>
      <w:commentRangeEnd w:id="0"/>
      <w:r>
        <w:rPr>
          <w:rStyle w:val="CommentReference"/>
        </w:rPr>
        <w:commentReference w:id="0"/>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300"/>
        <w:gridCol w:w="1900"/>
      </w:tblGrid>
      <w:tr>
        <w:tc>
          <w:tcPr>
            <w:tcW w:type="dxa" w:w="24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연결대장 작성 예시</w:t>
            </w:r>
          </w:p>
        </w:tc>
        <w:tc>
          <w:tcPr>
            <w:tcW w:type="dxa" w:w="22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이전 식별</w:t>
            </w:r>
          </w:p>
        </w:tc>
        <w:tc>
          <w:tcPr>
            <w:tcW w:type="dxa" w:w="23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다음 식별</w:t>
            </w:r>
          </w:p>
        </w:tc>
        <w:tc>
          <w:tcPr>
            <w:tcW w:type="dxa" w:w="19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수량</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자재투입기록</w:t>
            </w:r>
          </w:p>
        </w:tc>
        <w:tc>
          <w:tcPr>
            <w:tcW w:type="dxa" w:w="2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RM-20260915-001</w:t>
            </w:r>
          </w:p>
        </w:tc>
        <w:tc>
          <w:tcPr>
            <w:tcW w:type="dxa" w:w="2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WO-20260915-001</w:t>
            </w:r>
          </w:p>
        </w:tc>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100개</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작업일보와 검사기록</w:t>
            </w:r>
          </w:p>
        </w:tc>
        <w:tc>
          <w:tcPr>
            <w:tcW w:type="dxa" w:w="2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WO-20260915-001</w:t>
            </w:r>
          </w:p>
        </w:tc>
        <w:tc>
          <w:tcPr>
            <w:tcW w:type="dxa" w:w="2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DEMO-PART-01-VJR-01</w:t>
            </w:r>
          </w:p>
        </w:tc>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합격 100개</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포장기록</w:t>
            </w:r>
          </w:p>
        </w:tc>
        <w:tc>
          <w:tcPr>
            <w:tcW w:type="dxa" w:w="2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DEMO-PART-01-VJR-01</w:t>
            </w:r>
          </w:p>
        </w:tc>
        <w:tc>
          <w:tcPr>
            <w:tcW w:type="dxa" w:w="2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BOX-DEMO-001</w:t>
            </w:r>
          </w:p>
        </w:tc>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60개</w:t>
            </w:r>
          </w:p>
        </w:tc>
      </w:tr>
      <w:tr>
        <w:tc>
          <w:tcPr>
            <w:tcW w:type="dxa" w:w="24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출하검사와 출하기록</w:t>
            </w:r>
          </w:p>
        </w:tc>
        <w:tc>
          <w:tcPr>
            <w:tcW w:type="dxa" w:w="2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BOX-DEMO-001</w:t>
            </w:r>
          </w:p>
        </w:tc>
        <w:tc>
          <w:tcPr>
            <w:tcW w:type="dxa" w:w="2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SHIP-DEMO-001 / 고객 A</w:t>
            </w:r>
          </w:p>
        </w:tc>
        <w:tc>
          <w:tcPr>
            <w:tcW w:type="dxa" w:w="19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출하 30개</w:t>
            </w:r>
          </w:p>
        </w:tc>
      </w:tr>
    </w:tbl>
    <w:p>
      <w:pPr>
        <w:spacing w:after="120"/>
      </w:pPr>
      <w:r>
        <w:rPr>
          <w:rFonts w:ascii="맑은 고딕" w:cs="맑은 고딕" w:eastAsia="맑은 고딕" w:hAnsi="맑은 고딕"/>
          <w:b w:val="false"/>
          <w:bCs w:val="false"/>
          <w:i w:val="false"/>
          <w:iCs w:val="false"/>
          <w:sz w:val="21"/>
          <w:szCs w:val="21"/>
        </w:rPr>
        <w:t xml:space="preserve">위 수량과 번호는 교육용 가상 예시이며 실제 실적이 아니다. 품번 DEMO-PART-01을 모든 기록에 함께 적는다. 예시에서는 출하 후 총 재고 70개이며 박스 잔량 30개와 미포장 40개로 대조한다. 불량, 반품, 폐기, 재작업이 있으면 해당 증감 기록을 추가한다.</w:t>
      </w:r>
    </w:p>
    <w:p>
      <w:pPr>
        <w:pStyle w:val="Heading2"/>
        <w:spacing w:after="120" w:before="240"/>
      </w:pPr>
      <w:r>
        <w:rPr>
          <w:rFonts w:ascii="맑은 고딕" w:cs="맑은 고딕" w:eastAsia="맑은 고딕" w:hAnsi="맑은 고딕"/>
          <w:b/>
          <w:bCs/>
          <w:sz w:val="25"/>
          <w:szCs w:val="25"/>
        </w:rPr>
        <w:t xml:space="preserve">양방향 추적 확인 방법</w:t>
      </w:r>
    </w:p>
    <w:p>
      <w:pPr>
        <w:spacing w:after="120"/>
      </w:pPr>
      <w:r>
        <w:rPr>
          <w:rFonts w:ascii="맑은 고딕" w:cs="맑은 고딕" w:eastAsia="맑은 고딕" w:hAnsi="맑은 고딕"/>
          <w:b w:val="false"/>
          <w:bCs w:val="false"/>
          <w:i w:val="false"/>
          <w:iCs w:val="false"/>
          <w:sz w:val="21"/>
          <w:szCs w:val="21"/>
        </w:rPr>
        <w:t xml:space="preserve">역추적은 출하번호 → 박스번호 → 품번과 제품 LOT 및 배치 → 검사기록과 작업지시 → 투입 자재 LOT 순으로 확인한다. 정추적은 자재 LOT → 사용 작업지시 전체 → 관련 배치와 제품 LOT 전체 → 보관 재고와 출하처 전체를 확인한다. 첫 번째 조회 결과 한 건만 확인하고 끝내지 않는다.</w:t>
      </w:r>
    </w:p>
    <w:p>
      <w:pPr>
        <w:pStyle w:val="Heading2"/>
        <w:spacing w:after="120" w:before="240"/>
      </w:pPr>
      <w:r>
        <w:rPr>
          <w:rFonts w:ascii="맑은 고딕" w:cs="맑은 고딕" w:eastAsia="맑은 고딕" w:hAnsi="맑은 고딕"/>
          <w:b/>
          <w:bCs/>
          <w:sz w:val="25"/>
          <w:szCs w:val="25"/>
        </w:rPr>
        <w:t>보존과 시행 전 확인</w:t>
      </w:r>
    </w:p>
    <w:p>
      <w:pPr>
        <w:spacing w:after="120"/>
      </w:pPr>
      <w:r>
        <w:rPr>
          <w:rFonts w:ascii="맑은 고딕" w:cs="맑은 고딕" w:eastAsia="맑은 고딕" w:hAnsi="맑은 고딕"/>
          <w:b w:val="false"/>
          <w:bCs w:val="false"/>
          <w:i w:val="false"/>
          <w:iCs w:val="false"/>
          <w:sz w:val="21"/>
          <w:szCs w:val="21"/>
        </w:rPr>
        <w:t xml:space="preserve">원기록과 첨부 증빙, 연결대장, 정정 이력을 함께 보존한다. 보존기간은 고객 요구와 회사 기준을 확인하여 확정하며 확정 전 임의 삭제하지 않는다. 일일 백업과 정기 복원 점검, 월 1회 양방향 추적 표본 점검을 제안한다. 추적 시간 및 미연결 건수를 기록하고 누락은 원증빙 대조 후 보완한다.</w:t>
      </w:r>
    </w:p>
    <w:p>
      <w:pPr>
        <w:spacing w:after="120"/>
      </w:pPr>
      <w:r>
        <w:rPr>
          <w:rFonts w:ascii="맑은 고딕" w:cs="맑은 고딕" w:eastAsia="맑은 고딕" w:hAnsi="맑은 고딕"/>
          <w:b w:val="false"/>
          <w:bCs w:val="false"/>
          <w:i w:val="false"/>
          <w:iCs w:val="false"/>
          <w:sz w:val="21"/>
          <w:szCs w:val="21"/>
        </w:rPr>
        <w:t>시행 전 확정 항목  담당자와 대체자 / 시행일과 문서번호 / 보존기간 / 고객별 라벨 및 검사 요구사항 / 날짜 경계와 재작업 기준 / 2031년 이후 코드 / 코드체계 전환일 / 배치 발급대장과 순번 확장 / 기존 재고 식별 / 실제 프로그램 지원 범위와 검증 결과.</w:t>
      </w:r>
    </w:p>
    <w:p>
      <w:pPr>
        <w:spacing w:after="120"/>
      </w:pPr>
      <w:r>
        <w:rPr>
          <w:rFonts w:ascii="맑은 고딕" w:cs="맑은 고딕" w:eastAsia="맑은 고딕" w:hAnsi="맑은 고딕"/>
          <w:b w:val="false"/>
          <w:bCs w:val="false"/>
          <w:i w:val="false"/>
          <w:iCs w:val="false"/>
          <w:sz w:val="21"/>
          <w:szCs w:val="21"/>
        </w:rPr>
        <w:t>전환 시험에는 같은 VJR의 구·신 날짜 해석, 전환일 전후 생산, 한 배치 및 복수 배치, 자재 LOT 변경, 99 초과 순번, 기존 재고 출하와 반품, 검사 보류와 미확인 출하 차단, 원자재부터 고객까지 양방향 조회를 포함한다. 시험 결과와 근거를 남기고 교육자료의 코드 예시도 일치시킨다. 문서 보완만으로 프로그램 적용이 완료된 것으로 보지 않는다.</w:t>
      </w:r>
    </w:p>
    <w:p>
      <w:pPr>
        <w:spacing w:after="120"/>
      </w:pPr>
      <w:r>
        <w:rPr>
          <w:rFonts w:ascii="맑은 고딕" w:cs="맑은 고딕" w:eastAsia="맑은 고딕" w:hAnsi="맑은 고딕"/>
          <w:b w:val="false"/>
          <w:bCs w:val="false"/>
          <w:i w:val="false"/>
          <w:iCs w:val="false"/>
          <w:sz w:val="21"/>
          <w:szCs w:val="21"/>
        </w:rPr>
        <w:t>예외 처리 시험에는 공급사 LOT 불일치 상태의 내부 입고번호 발급과 투입 중지, 원증빙 확인 후 연결 확정, 라벨 분실과 재발행 수량 통제, 권한 없는 품질 보류 해제 방지 및 고객 요구사항 미확인 상태의 임의 라벨 변경 방지를 추가한다.</w:t>
      </w:r>
    </w:p>
    <w:p>
      <w:r>
        <w:br w:type="page"/>
      </w:r>
    </w:p>
    <w:p>
      <w:pPr>
        <w:pStyle w:val="Heading1"/>
        <w:spacing w:after="160" w:before="320"/>
      </w:pPr>
      <w:r>
        <w:t>부록 고객 요구사항 확인 대장</w:t>
      </w:r>
    </w:p>
    <w:p>
      <w:pPr>
        <w:spacing w:after="120"/>
      </w:pPr>
      <w:commentRangeStart w:id="1"/>
      <w:r>
        <w:t>아래 대장은 확인해야 할 항목을 정리한 것으로 고객의 실제 요구사항이나 승인을 의미하지 않는다. Rev.03에 기재된 Code 128, 8D CAR 필수, 재작업 통보 및 협의 완료 문구는 근거가 확인되지 않아 확정 요구사항에서 제외했다. 고객 원문 자료를 확보한 뒤 적용 품번, 문서번호와 개정, 해당 조항 및 확인자를 기록한다.</w:t>
      </w:r>
      <w:commentRangeEnd w:id="1"/>
      <w:r>
        <w:rPr>
          <w:rStyle w:val="CommentReference"/>
        </w:rPr>
        <w:commentReference w:id="1"/>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32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대상</w:t>
            </w:r>
          </w:p>
        </w:tc>
        <w:tc>
          <w:tcPr>
            <w:tcW w:type="dxa" w:w="32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확인 항목</w:t>
            </w:r>
          </w:p>
        </w:tc>
        <w:tc>
          <w:tcPr>
            <w:tcW w:type="dxa" w:w="32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근거와 적용 범위</w:t>
            </w:r>
          </w:p>
        </w:tc>
        <w:tc>
          <w:tcPr>
            <w:tcW w:type="dxa" w:w="3200"/>
            <w:shd w:fill="E7E6E6" w:val="clear"/>
            <w:tcMar>
              <w:top w:type="dxa" w:w="80"/>
              <w:left w:type="dxa" w:w="100"/>
              <w:bottom w:type="dxa" w:w="80"/>
              <w:right w:type="dxa" w:w="100"/>
            </w:tcMar>
            <w:vAlign w:val="center"/>
          </w:tcPr>
          <w:p>
            <w:r>
              <w:rPr>
                <w:rFonts w:ascii="맑은 고딕" w:cs="맑은 고딕" w:eastAsia="맑은 고딕" w:hAnsi="맑은 고딕"/>
                <w:b/>
                <w:bCs/>
                <w:sz w:val="20"/>
                <w:szCs w:val="20"/>
              </w:rPr>
              <w:t>상태</w:t>
            </w:r>
          </w:p>
        </w:tc>
      </w:tr>
      <w:tr>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한온시스템</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라벨 항목과 바코드</w:t>
              <w:br/>
              <w:t>재작업 LOT와 통보</w:t>
              <w:br/>
              <w:t>추적 기록 보존기간</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고객 문서 및 개정 미확인</w:t>
              <w:br/>
              <w:t>적용 품번 미확인</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미확인</w:t>
            </w:r>
          </w:p>
        </w:tc>
      </w:tr>
      <w:tr>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현대 및 기아</w:t>
              <w:br/>
              <w:t>해당 거래 시</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직접 또는 간접 납품 적용 여부</w:t>
              <w:br/>
              <w:t>고객 라벨과 재작업 요구</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계약 및 고객 문서 미확인</w:t>
              <w:br/>
              <w:t>적용 품번 미확인</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미확인</w:t>
            </w:r>
          </w:p>
        </w:tc>
      </w:tr>
      <w:tr>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기타 고객</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고객별 라벨과 추적</w:t>
              <w:br/>
              <w:t>재작업 및 보존 요구</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거래 발생 시 문서 확보</w:t>
            </w:r>
          </w:p>
        </w:tc>
        <w:tc>
          <w:tcPr>
            <w:tcW w:type="dxa" w:w="32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미확인</w:t>
            </w:r>
          </w:p>
        </w:tc>
      </w:tr>
    </w:tbl>
    <w:p>
      <w:pPr>
        <w:spacing w:after="120"/>
      </w:pPr>
      <w:r>
        <w:t>고객별 상세 기록 항목  고객명 / 대상 품번과 차종 / 요구사항 구분 / 고객 문서명과 번호 / 개정 및 적용일 / 해당 조항 / 확인된 요구사항 / 고객 회신 또는 승인 근거 / 사내 확인자와 확인일 / 적용 라벨과 기록 양식 / 재확인 예정일.</w:t>
      </w:r>
    </w:p>
    <w:p>
      <w:pPr>
        <w:spacing w:after="120"/>
      </w:pPr>
      <w:r>
        <w:t>관리 상태는 미확인, 확인 중, 확인 완료, 해당 없음으로 구분한다. 근거가 확보되지 않은 항목을 확인 완료로 표시하지 않는다. 기존에 확인되어 사용 중인 고객 양식은 유지하고 임의 변경하지 않으며, 출하에 필수인 요구사항이 불명확한 신규 품목은 고객 확인 전 출하하지 않는다.</w:t>
      </w:r>
    </w:p>
    <w:p>
      <w:pPr>
        <w:spacing w:after="120"/>
      </w:pPr>
      <w:r>
        <w:t>문서 배포 전 확인  문서번호와 시행일 지정 / 담당자 및 예외 권한자 지정 / 고객별 근거 확보 / 보존기간 확정 / 코드 전환 시험 완료 / 수기 양식과 교육자료 일치 / 현장 배포본 및 구본 회수 관리.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검토 메모" w:initials="검토" w:date="2026-09-15T07:23:14Z">
    <w:p>
      <w:pPr>
        <w:pStyle w:val="CommentText"/>
      </w:pPr>
      <w:r>
        <w:rPr>
          <w:rStyle w:val="CommentReference"/>
        </w:rPr>
        <w:annotationRef/>
      </w:r>
      <w:r>
        <w:t>Rev.03의 일괄 팀장 승인 대신 일반 입력과 예외 해제를 구분했습니다. 시행 전에 품질 권한자와 대체 담당자를 지정해야 합니다.</w:t>
      </w:r>
    </w:p>
  </w:comment>
  <w:comment w:id="1" w:author="검토 메모" w:initials="검토" w:date="2026-09-15T07:23:14Z">
    <w:p>
      <w:pPr>
        <w:pStyle w:val="CommentText"/>
      </w:pPr>
      <w:r>
        <w:rPr>
          <w:rStyle w:val="CommentReference"/>
        </w:rPr>
        <w:annotationRef/>
      </w:r>
      <w:r>
        <w:t>제공된 Rev.03의 고객별 요구사항에는 확인 가능한 승인 문서가 없습니다. 가상 품번과 승인일 자리표시자를 제거하고 미확인 대장으로 전환했습니다.</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2026-09-15T06:56:24.004Z</dcterms:created>
  <dcterms:modified xsi:type="dcterms:W3CDTF">2026-09-15T06:56:24.004Z</dcterms:modified>
</cp:coreProperties>
</file>

<file path=docProps/custom.xml><?xml version="1.0" encoding="utf-8"?>
<Properties xmlns="http://schemas.openxmlformats.org/officeDocument/2006/custom-properties" xmlns:vt="http://schemas.openxmlformats.org/officeDocument/2006/docPropsVTypes"/>
</file>