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SH-QP-007 설비및예방보전관리절차서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SH-QP-007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설비 관리 절차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예방보전 계획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금형 및 치공구 관리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설비고장 및 비상대응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KPI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  <w:proofErr w:type="spellStart"/>
      <w:proofErr w:type="spellEnd"/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  <w:proofErr w:type="spellStart"/>
      <w:proofErr w:type="spellEnd"/>
      <w:proofErr w:type="spellStart"/>
      <w:proofErr w:type="spellEnd"/>
    </w:p>
    <w:p w14:paraId="107D5ED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SH-QP-007 설비 및 예방보전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ECAC2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B20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373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873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2E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CAB18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619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1DE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54C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F1E7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B2FF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51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D11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E6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74E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6A15F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30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C0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6E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F1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7.1.3 /</w:t>
            </w:r>
            <w:proofErr w:type="gramEnd"/>
            <w:r>
              <w:rPr>
                <w:sz w:val="18"/>
                <w:lang w:eastAsia="ko-KR"/>
              </w:rPr>
              <w:t xml:space="preserve"> IATF 생산설비·TPM 관련 요구</w:t>
            </w:r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생산설비,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유틸리티의 가용성과 공정능력을 유지하여 제품 적합성과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30B2B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E84E0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중요 유틸리티 및 생산지원 장비에 적용한다.</w:t>
      </w:r>
    </w:p>
    <w:p w14:paraId="7AB4B9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설비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4314A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33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4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479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3830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29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991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Capacity, 안전, 승인 및 설비번호 부여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136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설비대장</w:t>
            </w:r>
            <w:proofErr w:type="spellEnd"/>
          </w:p>
        </w:tc>
      </w:tr>
      <w:tr w:rsidR="008E371C" w14:paraId="3B7687A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A1B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0D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전/교대별 주요 조건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7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6CC07E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FC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예방보전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E16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시간/횟수/상태 기반 계획보전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6E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41AD13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A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예측보전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481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설비의 상태 데이터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26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32650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1DF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90C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원인분석, 영향제품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5BB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</w:tr>
      <w:tr w:rsidR="008E371C" w14:paraId="628EEA9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D8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8D9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선정 및 적정재고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6B1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예비품대장</w:t>
            </w:r>
            <w:proofErr w:type="spellEnd"/>
          </w:p>
        </w:tc>
      </w:tr>
      <w:tr w:rsidR="008E371C" w14:paraId="7CA72B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AB8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603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영향평가, 승인, 이력갱신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BE1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344ADDA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37255E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중요도, 고장이력, 제조사 권고, 생산부하 및 제품 리스크를 고려해 보전주기와 항목을 정한다.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 또는 지연 시 생산·품질 리스크를 평가하고 대체조치를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2FAB101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095FE0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고유번호와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소유권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</w:p>
    <w:p w14:paraId="253F36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사용수명/타수 및 상태관리</w:t>
      </w:r>
    </w:p>
    <w:p w14:paraId="05094C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수리·수정·변경 이력관리</w:t>
      </w:r>
    </w:p>
    <w:p w14:paraId="50CC1BB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손상·부식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415013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고객소유 자산은 고객 요구에 따른 추가 식별</w:t>
      </w:r>
    </w:p>
    <w:p w14:paraId="380F7F4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설비고장 및 비상대응</w:t>
      </w:r>
    </w:p>
    <w:p w14:paraId="4593BA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핵심설비 고장 시 생산중지, 영향제품 격리, 수리 및 복구검증을 실시한다. 장기 공급중단 가능성이 있으면 비상계획을 발동하고 필요 시 고객과 </w:t>
      </w:r>
      <w:proofErr w:type="spellStart"/>
      <w:r>
        <w:rPr>
          <w:sz w:val="21"/>
          <w:lang w:eastAsia="ko-KR"/>
        </w:rPr>
        <w:t>의사소통한다</w:t>
      </w:r>
      <w:proofErr w:type="spellEnd"/>
      <w:r>
        <w:rPr>
          <w:sz w:val="21"/>
          <w:lang w:eastAsia="ko-KR"/>
        </w:rPr>
        <w:t>.</w:t>
      </w:r>
    </w:p>
    <w:p w14:paraId="4F6CD1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5C939DA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7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A2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4099B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D5E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B9D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EAB4D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0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001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33B75EB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B14D9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MTBF/MTTR(적용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BC0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성능</w:t>
            </w:r>
            <w:proofErr w:type="spellEnd"/>
          </w:p>
        </w:tc>
      </w:tr>
      <w:tr w:rsidR="008E371C" w14:paraId="2C1F9D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90C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가동률/OEE(적용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F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손실관리</w:t>
            </w:r>
            <w:proofErr w:type="spellEnd"/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Start"/>
      <w:proofErr w:type="spellEnd"/>
      <w:proofErr w:type="spellStart"/>
      <w:proofErr w:type="spellEnd"/>
    </w:p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</w:p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Start"/>
      <w:proofErr w:type="spellEnd"/>
      <w:proofErr w:type="spellStart"/>
      <w:proofErr w:type="spellEnd"/>
    </w:p>
    <w:sectPr w:rsidR="008E371C">
      <w:headerReference w:type="default" r:id="rId14"/>
      <w:footerReference w:type="default" r:id="rId1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 xml:space="preserve">(주)신화에이치앤티  |  SH-QP-007  |  문서상태: 승인완료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