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SH-QP-012 생산및공정관리절차서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SH-QP-012 부분을 낱개 문서로 발행하기 위한 개정본이며 내용은 통합문서와 동일하다.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생산 준비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작업 준비 및 초품 승인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공정관리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공정 이상 반응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생산실적 및 추적성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공정변경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적용범위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책임과 권한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보존기간</w:t>
      </w:r>
    </w:p>
    <w:p w14:paraId="3333F63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SH-QP-012 생산 및 공정관리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C524D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7A9B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810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84B8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A2132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B6706D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243B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906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B45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053A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CA3B1E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F1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B177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 및 공정관리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2063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5AB2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563C5E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21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A78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9CBC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3071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E8886E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AB68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CE0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9920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9C6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ISO 9001 8.5 / IATF </w:t>
            </w:r>
            <w:proofErr w:type="spellStart"/>
            <w:r>
              <w:rPr>
                <w:sz w:val="18"/>
              </w:rPr>
              <w:t>제조관리·Control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Plan·표준작업</w:t>
            </w:r>
            <w:proofErr w:type="spellEnd"/>
          </w:p>
        </w:tc>
      </w:tr>
      <w:tr w:rsidR="008E371C" w14:paraId="0E8886E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AB68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CE0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9920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9C6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  <w:proofErr w:type="spellStart"/>
            <w:r>
              <w:rPr>
                <w:sz w:val="18"/>
              </w:rPr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</w:tr>
    </w:tbl>
    <w:p w14:paraId="26AC487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공정조건과 Control Plan에 따라 안정적으로 생산하고 특수특성, 공정능력, 오류방지 및 이상반응을 관리하여 제품 적합성을 보장하는 방법을 규정한다.</w:t>
      </w:r>
    </w:p>
    <w:p w14:paraId="31F5EF9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생산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344634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F4964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5B3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</w:tr>
      <w:tr w:rsidR="008E371C" w14:paraId="2E9FCFD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A1DFB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0FE3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, Control Plan, WI, </w:t>
            </w: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</w:tr>
      <w:tr w:rsidR="008E371C" w14:paraId="1C6B604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F4C4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23E74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승인자재, LOT, 식별, FIFO</w:t>
            </w:r>
          </w:p>
        </w:tc>
      </w:tr>
      <w:tr w:rsidR="008E371C" w14:paraId="77DE8B6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59A8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ACFFD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일상점검, 예방보전 상태, 조건</w:t>
            </w:r>
          </w:p>
        </w:tc>
      </w:tr>
      <w:tr w:rsidR="008E371C" w14:paraId="45A19F0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96DB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1BD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8E371C" w14:paraId="512A85E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E11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E0ABC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교정상태,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>, MSA 상태</w:t>
            </w:r>
          </w:p>
        </w:tc>
      </w:tr>
      <w:tr w:rsidR="008E371C" w14:paraId="784A47E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5FA0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9DF1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교육·자격·배치 적합성</w:t>
            </w:r>
          </w:p>
        </w:tc>
      </w:tr>
    </w:tbl>
    <w:p w14:paraId="54B57A8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3. 작업 준비 및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승인</w:t>
      </w:r>
    </w:p>
    <w:p w14:paraId="51297E0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, 교대, 셋업 또는 장시간 정지 후 재가동 시 정해진 방법으로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확인하고 승인 전 정상 양산을 진행하지 않는다. 생산부서는 야간, 휴일, 식사, 교대 및 검사인원 공백 등 품질확인이 취약해지는 시간을 공정별로 지정한다. 교대별 생산책임자, 검사담당자와 부재 시 대체자를 지정하고 연락방법을 현장에 게시한다. 자격이 필요한 검사는 승인된 자격자가 수행한다.</w:t>
      </w:r>
    </w:p>
    <w:p w14:paraId="3FD3CFB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취약시간 생산 전 최신 도면·관리계획·검사기준, 설비조건, 검사장비, 오류방지 기능 및 전 교대 미결사항을 확인한다. 검사담당자를 확보하지 못한 경우 생산책임자는 품질부서와 생산 보류 또는 승인된 대체검사 방안을 결정하고 근거를 남긴다.</w:t>
      </w:r>
    </w:p>
    <w:p w14:paraId="3BD49A2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공정관리</w:t>
      </w:r>
      <w:proofErr w:type="spellEnd"/>
    </w:p>
    <w:p w14:paraId="662A17D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공정조건 및 작업순서 준수</w:t>
      </w:r>
    </w:p>
    <w:p w14:paraId="77E0845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Plan의 샘플링·측정·반응계획 준수</w:t>
      </w:r>
    </w:p>
    <w:p w14:paraId="7B42E30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식별 및 강화관리</w:t>
      </w:r>
    </w:p>
    <w:p w14:paraId="500BD46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SPC 및 공정능력 모니터링</w:t>
      </w:r>
    </w:p>
    <w:p w14:paraId="70E0B6C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오류방지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장치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기능점검</w:t>
      </w:r>
      <w:proofErr w:type="spellEnd"/>
    </w:p>
    <w:p w14:paraId="77CFF88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이상 시 즉시 정지·격리·보고</w:t>
      </w:r>
    </w:p>
    <w:p w14:paraId="007F55E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공정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반응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032484B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0F2B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92A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즉시조치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B05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후속조치</w:t>
            </w:r>
            <w:proofErr w:type="spellEnd"/>
          </w:p>
        </w:tc>
      </w:tr>
      <w:tr w:rsidR="008E371C" w14:paraId="606E285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C40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규격이탈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214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생산정지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7BB8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</w:tr>
      <w:tr w:rsidR="008E371C" w14:paraId="7E15D9B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E08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75F0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8FBB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안정화</w:t>
            </w:r>
            <w:proofErr w:type="spellEnd"/>
          </w:p>
        </w:tc>
      </w:tr>
      <w:tr w:rsidR="008E371C" w14:paraId="2CC52CA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E96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1D5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생산정지</w:t>
            </w:r>
            <w:proofErr w:type="spellEnd"/>
            <w:r>
              <w:rPr>
                <w:sz w:val="18"/>
              </w:rPr>
              <w:t xml:space="preserve">/100%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5AE9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기능검증</w:t>
            </w:r>
            <w:proofErr w:type="spellEnd"/>
          </w:p>
        </w:tc>
      </w:tr>
      <w:tr w:rsidR="008E371C" w14:paraId="3EE4046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4F09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338A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6515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설비점검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재승인</w:t>
            </w:r>
            <w:proofErr w:type="spellEnd"/>
          </w:p>
        </w:tc>
      </w:tr>
      <w:tr w:rsidR="008E371C" w14:paraId="7660B2B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9EE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혼입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8929F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1ACE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범위확정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</w:tr>
    </w:tbl>
    <w:p w14:paraId="76B46A4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이상 발생 시 작업을 정지하거나 해당 이동을 보류하고 마지막 정상 확인 이후 영향품을 식별·격리한다. 복구 후 필요한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>·재검사를 실시하고 지정 권한자가 재가동과 불출을 승인한다. 생산·검사 기록과 조치결과를 함께 보관한다.</w:t>
      </w:r>
    </w:p>
    <w:p w14:paraId="025DD2F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생산실적 및 추적성</w:t>
      </w:r>
    </w:p>
    <w:p w14:paraId="647388A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생산일자, 교대, 설비/금형, 원자재 LOT, 생산수량, 불량수량 및 필요한 작업자 정보를 기록하여 고객 요구 수준의 추적성을 확보한다.</w:t>
      </w:r>
    </w:p>
    <w:p w14:paraId="3F4F361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SH-FM-138 </w:t>
      </w:r>
      <w:proofErr w:type="spellStart"/>
      <w:r>
        <w:rPr>
          <w:sz w:val="21"/>
          <w:lang w:eastAsia="ko-KR"/>
        </w:rPr>
        <w:t xml:space="preserve">품질취약시간관리기준서</w:t>
      </w:r>
      <w:proofErr w:type="spellEnd"/>
      <w:r>
        <w:rPr>
          <w:sz w:val="21"/>
          <w:lang w:eastAsia="ko-KR"/>
        </w:rPr>
        <w:t xml:space="preserve">, SH-FM-143 야간생산품 검사일지에 작성하고 최신 승인 문서관리대장에 따라 보관한다.</w:t>
      </w:r>
    </w:p>
    <w:p w14:paraId="5CDB91C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 공정변경</w:t>
      </w:r>
    </w:p>
    <w:p w14:paraId="6E75908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공정조건, 설비, 금형, 자재, 작업방법 또는 검사방법의 변경은 임의 적용하지 않고 SH-QP-015에 따라 승인한다.</w:t>
      </w:r>
    </w:p>
    <w:p w14:paraId="26AC487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 적용범위</w:t>
      </w:r>
      <w:proofErr w:type="spellStart"/>
      <w:proofErr w:type="spellEnd"/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생산 및 공정관리 절차서 업무를 수행하는 부서와 관련 기록에 적용한다.</w:t>
      </w:r>
    </w:p>
    <w:p w14:paraId="26AC487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9. 책임과 권한</w:t>
      </w:r>
      <w:proofErr w:type="spellStart"/>
      <w:proofErr w:type="spellEnd"/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26AC487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10. 보존기간</w:t>
      </w:r>
      <w:proofErr w:type="spellStart"/>
      <w:proofErr w:type="spellEnd"/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sectPr w:rsidR="008E371C">
      <w:headerReference w:type="default" r:id="rId16"/>
      <w:footerReference w:type="default" r:id="rId17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0615" w14:textId="77777777" w:rsidR="00063ECA" w:rsidRDefault="00063ECA">
    <w:pPr>
      <w:spacing w:after="0"/>
    </w:pPr>
    <w:r>
      <w:t xml:space="preserve">(주)신화에이치앤티  |  SH-QP-012  |  문서상태: 승인완료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