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SH-QP-009 고객요구사항및계약검토절차서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SH-QP-009 부분을 낱개 문서로 발행하기 위한 개정본이며 내용은 통합문서와 동일하다.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고객 요구사항 접수 및 관리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계약검토 절차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제조타당성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고객별 요구사항(CSR)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3BCED12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SH-QP-009 고객 요구사항 및 계약검토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FE5E1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B23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E3B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FA9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05AE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4542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C05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2095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F8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3648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A2735D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B6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5B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2B4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96EA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350745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866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D17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97E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5DA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57BD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5F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ADA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9FE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0EAC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8.2 /</w:t>
            </w:r>
            <w:proofErr w:type="gramEnd"/>
            <w:r>
              <w:rPr>
                <w:sz w:val="18"/>
                <w:lang w:eastAsia="ko-KR"/>
              </w:rPr>
              <w:t xml:space="preserve"> IATF 고객별 요구·제조타당성</w:t>
            </w:r>
          </w:p>
        </w:tc>
      </w:tr>
      <w:tr w:rsidR="008E371C" w14:paraId="357BD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5F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ADA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9FE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0EAC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문의, 견적, 계약 및 주문 단계에서 제품·품질·납기·법규·CSR 요구사항과 제조타당성을 검토하여 이행 가능한 요구만 수락하도록 규정한다.</w:t>
      </w:r>
    </w:p>
    <w:p w14:paraId="7F64F6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F587AA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견적, 신규제품, 양산 주문, 도면/사양 변경, 납기/수량 변경 및 고객별 요구사항 변경에 적용한다.</w:t>
      </w:r>
    </w:p>
    <w:p w14:paraId="606551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고객 요구사항 접수 및 관리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BF6A05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17B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79F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AA7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109763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314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2C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특수특성, 재질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0A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EFC2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3D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4F8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PPAP, </w:t>
            </w: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, PPM, CSR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CE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8916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75A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BF3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 xml:space="preserve">, Capacity, </w:t>
            </w: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402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246360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295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AB5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, EDI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F78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  <w:tr w:rsidR="008E371C" w14:paraId="71945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786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71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812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157E931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39B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6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계약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보증조건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8B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</w:tr>
    </w:tbl>
    <w:p w14:paraId="33DE36D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계약검토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989B9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AD3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4E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93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3C6E57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598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F97E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문의/도면/CSR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3CF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요구사항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7D6BE3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E63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379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생산, 구매, 물류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B75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의견</w:t>
            </w:r>
            <w:proofErr w:type="spellEnd"/>
          </w:p>
        </w:tc>
      </w:tr>
      <w:tr w:rsidR="008E371C" w14:paraId="057F3C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BB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제조타당성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521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Capacity, 공정, 설비, 측정, 인력, 공급망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C78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9A4B08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D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011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불명확/불가능 조건 고객협의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457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4B960D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624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5F3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견적/수주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C1D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09EF1D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DB5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79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변경사항 재검토 및 관련부서 전파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7F2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</w:tbl>
    <w:p w14:paraId="353D1B6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제조타당성</w:t>
      </w:r>
      <w:proofErr w:type="spellEnd"/>
    </w:p>
    <w:p w14:paraId="04523DC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 공차 및 특수특성의 공정능력 가능성</w:t>
      </w:r>
    </w:p>
    <w:p w14:paraId="6217D31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투자 필요성</w:t>
      </w:r>
    </w:p>
    <w:p w14:paraId="470988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검사·시험 및 MSA 가능성</w:t>
      </w:r>
    </w:p>
    <w:p w14:paraId="53C36F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생산능력과 납기 충족 가능성</w:t>
      </w:r>
    </w:p>
    <w:p w14:paraId="0B8AFA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협력사 및 원자재 조달 가능성</w:t>
      </w:r>
    </w:p>
    <w:p w14:paraId="6DC99AA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포장·물류·추적성 요구 이행 가능성</w:t>
      </w:r>
    </w:p>
    <w:p w14:paraId="6A3E23B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고객별 요구사항(CSR)</w:t>
      </w:r>
    </w:p>
    <w:p w14:paraId="6CEC64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고객의 CSR 최신본을 식별하고 관련 프로세스에 전개한다. CSR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QP/WI/FM, 교육, 심사 및 고객승인 요구를 검토한다.</w:t>
      </w:r>
    </w:p>
    <w:p w14:paraId="43E28B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57152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8D3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421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EAE819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334C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요구사항/CSR 목록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DD9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62E8ACA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E08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72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1AEAEB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46C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D7C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9CFC8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E96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변경 접수/검토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2B1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4"/>
      <w:footerReference w:type="default" r:id="rId1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 xml:space="preserve">(주)신화에이치앤티  |  SH-QP-009  |  문서상태: 승인완료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