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SH-QP-015 변경관리절차서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SH-QP-015 부분을 낱개 문서로 발행하기 위한 개정본이며 내용은 통합문서와 동일하다.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변경 대상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변경관리 절차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임시변경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문서 및 PPAP 연계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변경 후 효과확인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</w:p>
    <w:p w14:paraId="4C43149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SH-QP-015 변경관리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767F40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A8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163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E42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D0D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12D26F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A6A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A720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306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F4814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DE9CAC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BD9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73C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68F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ACEC1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7BE5DE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421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64B7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B8E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222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44D11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546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53A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20C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EA35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8.5.6 /</w:t>
            </w:r>
            <w:proofErr w:type="gramEnd"/>
            <w:r>
              <w:rPr>
                <w:sz w:val="18"/>
                <w:lang w:eastAsia="ko-KR"/>
              </w:rPr>
              <w:t xml:space="preserve"> IATF 제품·공정 변경 및 고객 승인</w:t>
            </w:r>
          </w:p>
        </w:tc>
      </w:tr>
      <w:tr w:rsidR="008E371C" w14:paraId="644D11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546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53A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20C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EA35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적합성에 영향을 줄 수 있는 4M, 공급자, 생산장소, 설계, 검사방법 및 소프트웨어 변경을 적용 전에 검토·승인·검증하여 변경 리스크와 고객 요구 위반을 예방하는 방법을 규정한다.</w:t>
      </w:r>
    </w:p>
    <w:p w14:paraId="1D3BE7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5426AB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24F8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F88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56FA48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3CB0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1F8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자격/교대/핵심 인력 변경</w:t>
            </w:r>
          </w:p>
        </w:tc>
      </w:tr>
      <w:tr w:rsidR="008E371C" w14:paraId="5876412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47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794C7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변경</w:t>
            </w:r>
          </w:p>
        </w:tc>
      </w:tr>
      <w:tr w:rsidR="008E371C" w14:paraId="4209E35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AE2E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ECA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원자재, 부품, 공급자, 재질 변경</w:t>
            </w:r>
          </w:p>
        </w:tc>
      </w:tr>
      <w:tr w:rsidR="008E371C" w14:paraId="346C82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31D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7F019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공정순서, 조건, 검사/포장방법 변경</w:t>
            </w:r>
          </w:p>
        </w:tc>
      </w:tr>
      <w:tr w:rsidR="008E371C" w14:paraId="687B3C2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FEBF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D41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라인 이전, 공장/외주 생산장소 변경</w:t>
            </w:r>
          </w:p>
        </w:tc>
      </w:tr>
      <w:tr w:rsidR="008E371C" w14:paraId="6B43897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BF009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5FC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공차, 특성 변경</w:t>
            </w:r>
          </w:p>
        </w:tc>
      </w:tr>
      <w:tr w:rsidR="008E371C" w14:paraId="2A20DD3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FDCE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F8C9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설비/검사 프로그램 및 버전 변경</w:t>
            </w:r>
          </w:p>
        </w:tc>
      </w:tr>
    </w:tbl>
    <w:p w14:paraId="49D42DF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95D285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487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D24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9F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26A5DDD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0CF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793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대상, 일정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703B7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변경신청</w:t>
            </w:r>
            <w:proofErr w:type="spellEnd"/>
          </w:p>
        </w:tc>
      </w:tr>
      <w:tr w:rsidR="008E371C" w14:paraId="0D4C1AC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3CF9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B0D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Capacity, 법규, 안전, 고객 영향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9DC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398035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AAF6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F4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통보/사전승인/PPAP 여부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F96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고객협의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2219BF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5EC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17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  <w:r>
              <w:rPr>
                <w:sz w:val="18"/>
                <w:lang w:eastAsia="ko-KR"/>
              </w:rPr>
              <w:t xml:space="preserve">, 검사, MSA,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 xml:space="preserve"> 등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A39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검증계획</w:t>
            </w:r>
            <w:proofErr w:type="spellEnd"/>
          </w:p>
        </w:tc>
      </w:tr>
      <w:tr w:rsidR="008E371C" w14:paraId="61490E3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7A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문서개정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3A2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WI, 검사기준 등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C01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개정문서</w:t>
            </w:r>
            <w:proofErr w:type="spellEnd"/>
          </w:p>
        </w:tc>
      </w:tr>
      <w:tr w:rsidR="008E371C" w14:paraId="0470FD3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3A8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5BCE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관련자 교육 후 승인일에 적용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1BED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DDC82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AFEA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C4D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모니터링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083B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01E5A0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C90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A2D5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성과·문제 확인 후 변경 종결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B98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</w:tr>
    </w:tbl>
    <w:p w14:paraId="5771A00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임시변경</w:t>
      </w:r>
      <w:proofErr w:type="spellEnd"/>
    </w:p>
    <w:p w14:paraId="3D1612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정상 관리수단을 일시적으로 대체하는 임시변경은 기간, 대체관리, 승인자 및 복귀조건을 명확히 한다. 특수특성 또는 오류방지 우회 시 강화된 검증과 일일 확인을 적용한다.</w:t>
      </w:r>
    </w:p>
    <w:p w14:paraId="12C9E0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문서 및 PPAP 연계</w:t>
      </w:r>
    </w:p>
    <w:p w14:paraId="65C212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영향에 따라 공정흐름도, PFMEA, Control Plan, WI, 검사기준, MSA, 공정능력 및 PPAP를 갱신한다. 고객 승인 전 적용 금지 조건이 있는 경우 이를 엄격히 준수한다.</w:t>
      </w:r>
    </w:p>
    <w:p w14:paraId="6159409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변경 후 효과확인</w:t>
      </w:r>
    </w:p>
    <w:p w14:paraId="3810623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변경 후 초기 LOT의 품질, 공정능력, 불량, 고객영향 및 </w:t>
      </w:r>
      <w:proofErr w:type="spellStart"/>
      <w:r>
        <w:rPr>
          <w:sz w:val="21"/>
          <w:lang w:eastAsia="ko-KR"/>
        </w:rPr>
        <w:t>작업성</w:t>
      </w:r>
      <w:proofErr w:type="spellEnd"/>
      <w:r>
        <w:rPr>
          <w:sz w:val="21"/>
          <w:lang w:eastAsia="ko-KR"/>
        </w:rPr>
        <w:t xml:space="preserve"> 등을 확인하고 문제가 없음을 확인한 후 정상관리로 전환한다.</w:t>
      </w:r>
    </w:p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변경관리 절차서 업무를 수행하는 부서와 관련 기록에 적용한다.</w:t>
      </w:r>
    </w:p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6"/>
      <w:footerReference w:type="default" r:id="rId17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615" w14:textId="77777777" w:rsidR="00063ECA" w:rsidRDefault="00063ECA">
    <w:pPr>
      <w:spacing w:after="0"/>
    </w:pPr>
    <w:r>
      <w:t xml:space="preserve">(주)신화에이치앤티  |  SH-QP-015  |  문서상태: 승인완료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