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D7E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5E3D7E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SH-QP-025 고객별요구사항(CSR)관리절차서</w:t>
      </w:r>
    </w:p>
    <w:p w14:paraId="5E3D7E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</w:p>
    <w:p w14:paraId="5E3D7E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SH-QP-025 부분을 낱개 문서로 발행하기 위한 개정본이며 내용은 통합문서와 동일하다.</w:t>
      </w:r>
    </w:p>
    <w:p w14:paraId="5E3D7E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5E3D7E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5E3D7E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CSR 식별</w:t>
      </w:r>
    </w:p>
    <w:p w14:paraId="5E3D7E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CSR 관리 절차</w:t>
      </w:r>
    </w:p>
    <w:p w14:paraId="5E3D7E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CSR 전개 영역</w:t>
      </w:r>
    </w:p>
    <w:p w14:paraId="5E3D7E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변경관리</w:t>
      </w:r>
    </w:p>
    <w:p w14:paraId="5E3D7E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준수상태</w:t>
      </w:r>
    </w:p>
    <w:p w14:paraId="5E3D7E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관련 기록</w:t>
      </w:r>
    </w:p>
    <w:p w14:paraId="5E3D7E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적용범위</w:t>
      </w:r>
    </w:p>
    <w:p w14:paraId="5E3D7E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책임과 권한</w:t>
      </w:r>
    </w:p>
    <w:p w14:paraId="5E3D7E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10. 보존기간</w:t>
      </w:r>
    </w:p>
    <w:p w14:paraId="5E3D7E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11. 문서관리 및 기록관리</w:t>
      </w:r>
    </w:p>
    <w:p w14:paraId="3DC35477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SH-QP-025 고객별 요구사항(CSR)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A6B8E6C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8C1B5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0D43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D9D0A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6FAA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002A1A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439B5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AAB40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C9CB4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8784E8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579C9BD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FF86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D08953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고객별 요구사항(CSR)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30FC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449888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00C968F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14038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D89C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09EB9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A1085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4E45C39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CD900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1AEF0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51A5D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549E32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IATF 고객별 요구사항(CSR) 및 ISO 9001 고객 요구 관리</w:t>
            </w:r>
          </w:p>
        </w:tc>
      </w:tr>
      <w:tr w:rsidR="008E371C" w14:paraId="4E45C39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CD900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1AEF0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51A5D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549E32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Rev.03</w:t>
            </w:r>
          </w:p>
        </w:tc>
      </w:tr>
    </w:tbl>
    <w:p w14:paraId="656E945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5E3D7E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요구사항을 최신 상태로 식별, 검토, 관련 프로세스에 전개하고 변경 및 준수상태를 정기적으로 평가하여 고객 요구 누락을 예방하는 방법을 규정한다.</w:t>
      </w:r>
    </w:p>
    <w:p w14:paraId="782938D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CSR 식별</w:t>
      </w:r>
    </w:p>
    <w:p w14:paraId="6075ED3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계약 고객, 직접 고객 및 적용되는 최종고객 요구 중 회사 QMS와 제품·공정에 적용되는 고객별 요구사항을 식별한다. 공식 고객 포털, 계약문서 및 고객이 지정한 배포경로를 기준으로 최신성을 관리한다.</w:t>
      </w:r>
    </w:p>
    <w:p w14:paraId="2719321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CSR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16E498F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A271A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EF8F8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610E4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73EAA7E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08C58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수집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8E5F9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고객별 CSR/품질매뉴얼/포털 요구 확보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65A1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CSR </w:t>
            </w:r>
            <w:proofErr w:type="spellStart"/>
            <w:r>
              <w:rPr>
                <w:sz w:val="18"/>
              </w:rPr>
              <w:t>원본</w:t>
            </w:r>
            <w:proofErr w:type="spellEnd"/>
          </w:p>
        </w:tc>
      </w:tr>
      <w:tr w:rsidR="008E371C" w14:paraId="67779E3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372AD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728A3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적용성</w:t>
            </w:r>
            <w:proofErr w:type="spellEnd"/>
            <w:r>
              <w:rPr>
                <w:sz w:val="18"/>
              </w:rPr>
              <w:t xml:space="preserve"> 및 Gap </w:t>
            </w: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2E18B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CSR </w:t>
            </w:r>
            <w:proofErr w:type="spellStart"/>
            <w:r>
              <w:rPr>
                <w:sz w:val="18"/>
              </w:rPr>
              <w:t>검토표</w:t>
            </w:r>
            <w:proofErr w:type="spellEnd"/>
          </w:p>
        </w:tc>
      </w:tr>
      <w:tr w:rsidR="008E371C" w14:paraId="5CD31AF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FD8D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2977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QP/WI/FM, KPI, 교육, 심사에 반영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EAD3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매트릭스</w:t>
            </w:r>
            <w:proofErr w:type="spellEnd"/>
          </w:p>
        </w:tc>
      </w:tr>
      <w:tr w:rsidR="008E371C" w14:paraId="1DC1BD8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BDC32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F4981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신규 Rev 확인 및 영향평가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7AA96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변경검토</w:t>
            </w:r>
            <w:proofErr w:type="spellEnd"/>
          </w:p>
        </w:tc>
      </w:tr>
      <w:tr w:rsidR="008E371C" w14:paraId="39FBBF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9151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E77A6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담당자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교육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4F1C4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교육기록</w:t>
            </w:r>
            <w:proofErr w:type="spellEnd"/>
          </w:p>
        </w:tc>
      </w:tr>
      <w:tr w:rsidR="008E371C" w14:paraId="0CDA2AB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FC11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준수평가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25CC3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정기 내부심사/자체점검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17A32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준수평가</w:t>
            </w:r>
            <w:proofErr w:type="spellEnd"/>
          </w:p>
        </w:tc>
      </w:tr>
      <w:tr w:rsidR="008E371C" w14:paraId="40337A1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A48BE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경영보고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97572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중요 Gap/리스크 보고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F795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입력</w:t>
            </w:r>
            <w:proofErr w:type="spellEnd"/>
          </w:p>
        </w:tc>
      </w:tr>
    </w:tbl>
    <w:p w14:paraId="11DF4D8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CSR </w:t>
      </w:r>
      <w:proofErr w:type="spellStart"/>
      <w:r>
        <w:rPr>
          <w:rFonts w:ascii="맑은 고딕" w:eastAsia="맑은 고딕" w:hAnsi="맑은 고딕" w:cs="맑은 고딕"/>
          <w:sz w:val="24"/>
        </w:rPr>
        <w:t>전개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영역</w:t>
      </w:r>
      <w:proofErr w:type="spellEnd"/>
    </w:p>
    <w:p w14:paraId="3EACE11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PPAP/APQP 및 변경승인</w:t>
      </w:r>
    </w:p>
    <w:p w14:paraId="09452FE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특수특성, 제품안전 및 추적성</w:t>
      </w:r>
    </w:p>
    <w:p w14:paraId="3E4AF83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공정능력, SPC 및 MSA 기준</w:t>
      </w:r>
    </w:p>
    <w:p w14:paraId="5D20831C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공급자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개발</w:t>
      </w:r>
      <w:proofErr w:type="spellEnd"/>
      <w:r>
        <w:rPr>
          <w:sz w:val="21"/>
        </w:rPr>
        <w:t xml:space="preserve"> 및 </w:t>
      </w:r>
      <w:proofErr w:type="spellStart"/>
      <w:r>
        <w:rPr>
          <w:sz w:val="21"/>
        </w:rPr>
        <w:t>하위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전개</w:t>
      </w:r>
      <w:proofErr w:type="spellEnd"/>
    </w:p>
    <w:p w14:paraId="4352A70F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고객불만</w:t>
      </w:r>
      <w:proofErr w:type="spellEnd"/>
      <w:r>
        <w:rPr>
          <w:sz w:val="21"/>
        </w:rPr>
        <w:t xml:space="preserve">/8D </w:t>
      </w:r>
      <w:proofErr w:type="spellStart"/>
      <w:r>
        <w:rPr>
          <w:sz w:val="21"/>
        </w:rPr>
        <w:t>대응시간</w:t>
      </w:r>
      <w:proofErr w:type="spellEnd"/>
    </w:p>
    <w:p w14:paraId="54DFB4C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포장·라벨·물류·EDI</w:t>
      </w:r>
    </w:p>
    <w:p w14:paraId="25271754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보증</w:t>
      </w:r>
      <w:proofErr w:type="spellEnd"/>
      <w:r>
        <w:rPr>
          <w:sz w:val="21"/>
        </w:rPr>
        <w:t xml:space="preserve"> 및 </w:t>
      </w:r>
      <w:proofErr w:type="spellStart"/>
      <w:r>
        <w:rPr>
          <w:sz w:val="21"/>
        </w:rPr>
        <w:t>기록보존</w:t>
      </w:r>
      <w:proofErr w:type="spellEnd"/>
    </w:p>
    <w:p w14:paraId="67B6AD9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내부심사 및 고객 지정 평가</w:t>
      </w:r>
    </w:p>
    <w:p w14:paraId="662F071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변경관리</w:t>
      </w:r>
    </w:p>
    <w:p w14:paraId="352F2FB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CSR 개정이 확인되면 시행일, 변경내용, 영향 프로세스 및 필요한 조치를 평가한다. 고객 요구 적용 전에 필요한 문서개정, 교육, 시스템 변경 및 공급자 전개를 완료한다.</w:t>
      </w:r>
    </w:p>
    <w:p w14:paraId="6E46EBE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준수상태</w:t>
      </w:r>
    </w:p>
    <w:p w14:paraId="31D3F38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CSR 준수상태는 내부심사 및 정기 자체점검에서 확인한다. </w:t>
      </w:r>
      <w:proofErr w:type="spellStart"/>
      <w:r>
        <w:rPr>
          <w:sz w:val="21"/>
          <w:lang w:eastAsia="ko-KR"/>
        </w:rPr>
        <w:t>미준수</w:t>
      </w:r>
      <w:proofErr w:type="spellEnd"/>
      <w:r>
        <w:rPr>
          <w:sz w:val="21"/>
          <w:lang w:eastAsia="ko-KR"/>
        </w:rPr>
        <w:t xml:space="preserve"> 또는 Gap은 리스크 수준에 따라 시정조치와 경영층 보고 대상으로 관리한다.</w:t>
      </w:r>
    </w:p>
    <w:p w14:paraId="2B314A8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59C0B35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05968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6D9A2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</w:t>
            </w:r>
            <w:proofErr w:type="spellEnd"/>
          </w:p>
        </w:tc>
      </w:tr>
      <w:tr w:rsidR="008E371C" w14:paraId="3B1D6DD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AC3E1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고객별</w:t>
            </w:r>
            <w:proofErr w:type="spellEnd"/>
            <w:r>
              <w:rPr>
                <w:sz w:val="18"/>
              </w:rPr>
              <w:t xml:space="preserve"> CSR </w:t>
            </w:r>
            <w:proofErr w:type="spellStart"/>
            <w:r>
              <w:rPr>
                <w:sz w:val="18"/>
              </w:rPr>
              <w:t>목록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D792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4C9E059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0C4D8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CSR Gap/</w:t>
            </w:r>
            <w:proofErr w:type="spellStart"/>
            <w:r>
              <w:rPr>
                <w:sz w:val="18"/>
                <w:lang w:eastAsia="ko-KR"/>
              </w:rPr>
              <w:t>적용성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검토표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077EF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</w:tr>
      <w:tr w:rsidR="008E371C" w14:paraId="4602120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4A7A5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CSR </w:t>
            </w:r>
            <w:proofErr w:type="spellStart"/>
            <w:r>
              <w:rPr>
                <w:sz w:val="18"/>
              </w:rPr>
              <w:t>전개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매트릭스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3D2F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60335BE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7A29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변경검토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교육기록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85AC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</w:tr>
      <w:tr w:rsidR="008E371C" w14:paraId="399128C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59BC7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CSR </w:t>
            </w:r>
            <w:proofErr w:type="spellStart"/>
            <w:r>
              <w:rPr>
                <w:sz w:val="18"/>
              </w:rPr>
              <w:t>준수평가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A095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</w:tr>
    </w:tbl>
    <w:p w14:paraId="656E945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적용범위</w:t>
      </w:r>
    </w:p>
    <w:p w14:paraId="5E3D7E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고객별 요구사항(CSR) 관리 절차서 업무를 수행하는 부서와 관련 기록에 적용한다.</w:t>
      </w:r>
    </w:p>
    <w:p w14:paraId="656E945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책임과 권한</w:t>
      </w:r>
    </w:p>
    <w:p w14:paraId="5E3D7E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작성: 주관부서 담당 / 검토: 품질책임자 / 승인: 대표이사/권한자. 주관부서는 본 문서의 운영과 개정을, 검토자는 내용 검토를, 승인권자는 승인과 배포를 책임진다.</w:t>
      </w:r>
    </w:p>
    <w:p w14:paraId="656E945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 보존기간</w:t>
      </w:r>
    </w:p>
    <w:p w14:paraId="5E3D7E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656E945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11. 문서관리 및 기록관리</w:t>
      </w:r>
    </w:p>
    <w:p w14:paraId="5E3D7E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기록은 SH-QP-002 문서화된 정보 관리 절차서와 SH-QP-003 기록관리 절차서에 따라 관리한다.</w:t>
      </w:r>
    </w:p>
    <w:sectPr w:rsidR="008E371C">
      <w:headerReference w:type="default" r:id="rId20"/>
      <w:footerReference w:type="default" r:id="rId21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3FE53" w14:textId="77777777" w:rsidR="00063ECA" w:rsidRDefault="00063ECA">
    <w:pPr>
      <w:spacing w:after="0"/>
    </w:pPr>
    <w:r>
      <w:t xml:space="preserve">(주)신화에이치앤티  |  SH-QP-025  |  문서상태: 승인완료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