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SH-QP-022 제품안전관리절차서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SH-QP-022 부분을 낱개 문서로 발행하기 위한 개정본이며 내용은 통합문서와 동일하다.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제품안전 적용성 식별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책임과 권한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제품안전 관리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이상 및 에스컬레이션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변경 및 승인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문서관리 및 기록관리</w:t>
      </w:r>
    </w:p>
    <w:p w14:paraId="699EEF73" w14:textId="77777777" w:rsidR="008E371C" w:rsidRDefault="00F7078F">
      <w:pPr>
        <w:pStyle w:val="QMSSection1"/>
        <w:keepNext/>
        <w:keepLines/>
        <w:spacing w:before="280" w:after="100" w:line="288" w:lineRule="auto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SH-QP-022 제품안전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3"/>
        <w:gridCol w:w="2473"/>
        <w:gridCol w:w="2463"/>
        <w:gridCol w:w="2466"/>
      </w:tblGrid>
      <w:tr w:rsidR="008E371C" w14:paraId="5CB94D1D" w14:textId="77777777" w:rsidTr="00F905C7">
        <w:trPr>
          <w:cantSplit/>
          <w:tblHeader/>
          <w:jc w:val="center"/>
        </w:trPr>
        <w:tc>
          <w:tcPr>
            <w:tcW w:w="246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5501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57B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F3C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0CB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55B0050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D04AB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E5D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SH-QP-022</w:t>
            </w:r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5618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DC093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0CCECB51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7DB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2705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EB6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A1232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949F300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5A99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829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FE2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A7B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46117A4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FC04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3D7B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678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37A8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IATF 4.4.1.2 제품안전 및 관련 요구</w:t>
            </w:r>
          </w:p>
        </w:tc>
      </w:tr>
      <w:tr w:rsidR="008E371C" w14:paraId="046117A4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FC04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3D7B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678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37A8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</w:p>
        </w:tc>
      </w:tr>
    </w:tbl>
    <w:p w14:paraId="1BD4ACD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제품과 공정의 특성, 책임, 승인, 변경, 추적성 및 비상대응을 체계적으로 관리하여 고객 및 법규 요구를 충족하는 방법을 규정한다.</w:t>
      </w:r>
    </w:p>
    <w:p w14:paraId="6179B01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2. 제품안전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적용성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식별</w:t>
      </w:r>
    </w:p>
    <w:p w14:paraId="1466731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도면, 법규, 계약, 특수특성 지정 및 위험분석을 통해 제품안전 관련 요구의 적용 여부를 확인한다. 적용 시 관련 특성과 공정에 명확히 전개한다.</w:t>
      </w:r>
    </w:p>
    <w:p w14:paraId="3959634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책임과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E350F7B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1E6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451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3DF1D7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FC21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경영층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6C9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책임체계 및 자원 승인</w:t>
            </w:r>
          </w:p>
        </w:tc>
      </w:tr>
      <w:tr w:rsidR="008E371C" w14:paraId="212DF7D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7A27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95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요구사항 전개, 이슈 에스컬레이션, 승인관리</w:t>
            </w:r>
          </w:p>
        </w:tc>
      </w:tr>
      <w:tr w:rsidR="008E371C" w14:paraId="60530B4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8951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26D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특수특성, 검사, 추적성, 고객통보 관리</w:t>
            </w:r>
          </w:p>
        </w:tc>
      </w:tr>
      <w:tr w:rsidR="008E371C" w14:paraId="5583C0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38D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520A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공정설계, 변경 영향평가</w:t>
            </w:r>
          </w:p>
        </w:tc>
      </w:tr>
      <w:tr w:rsidR="008E371C" w14:paraId="71061A3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80A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359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승인조건 및 반응계획 준수</w:t>
            </w:r>
          </w:p>
        </w:tc>
      </w:tr>
      <w:tr w:rsidR="008E371C" w14:paraId="0A7B557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9CF7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089C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요구의 공급자 전개</w:t>
            </w:r>
          </w:p>
        </w:tc>
      </w:tr>
    </w:tbl>
    <w:p w14:paraId="3889F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제품안전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1FF4DB0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 및 고객 제품안전 요구 식별</w:t>
      </w:r>
    </w:p>
    <w:p w14:paraId="0F82732F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제품안전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특성의</w:t>
      </w:r>
      <w:proofErr w:type="spellEnd"/>
      <w:r>
        <w:rPr>
          <w:sz w:val="21"/>
        </w:rPr>
        <w:t xml:space="preserve"> PFMEA·Control Plan·WI </w:t>
      </w:r>
      <w:proofErr w:type="spellStart"/>
      <w:r>
        <w:rPr>
          <w:sz w:val="21"/>
        </w:rPr>
        <w:t>전개</w:t>
      </w:r>
      <w:proofErr w:type="spellEnd"/>
    </w:p>
    <w:p w14:paraId="1A897FE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인원 역량 및 인식 확보</w:t>
      </w:r>
    </w:p>
    <w:p w14:paraId="27FDAD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공급자에 필요한 제품안전 요구 전개</w:t>
      </w:r>
    </w:p>
    <w:p w14:paraId="49F97B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변경의 강화된 검토·승인</w:t>
      </w:r>
    </w:p>
    <w:p w14:paraId="030E802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추적성 및 기록보존 요구 준수</w:t>
      </w:r>
    </w:p>
    <w:p w14:paraId="5E56F92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이상 및 에스컬레이션</w:t>
      </w:r>
    </w:p>
    <w:p w14:paraId="49A08A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제품안전 관련 부적합 또는 잠재 위험이 발견되면 생산/출하 통제와 </w:t>
      </w:r>
      <w:proofErr w:type="spellStart"/>
      <w:r>
        <w:rPr>
          <w:sz w:val="21"/>
          <w:lang w:eastAsia="ko-KR"/>
        </w:rPr>
        <w:t>의심품</w:t>
      </w:r>
      <w:proofErr w:type="spellEnd"/>
      <w:r>
        <w:rPr>
          <w:sz w:val="21"/>
          <w:lang w:eastAsia="ko-KR"/>
        </w:rPr>
        <w:t xml:space="preserve"> 격리를 우선 실시하고 제품안전 책임자 및 경영층에 즉시 보고한다. 고객/법규기관 통보 필요성은 적용 요구에 따라 결정한다.</w:t>
      </w:r>
    </w:p>
    <w:p w14:paraId="2EF06E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변경 및 승인</w:t>
      </w:r>
    </w:p>
    <w:p w14:paraId="58C9740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특성에 영향을 주는 설계, 자재, 공급자, 공정, 설비, 위치 및 검사방법 변경은 일반 변경보다 강화된 영향평가와 고객승인 필요성 검토를 실시한다.</w:t>
      </w:r>
    </w:p>
    <w:p w14:paraId="437563B2" w14:textId="77777777" w:rsidR="008E371C" w:rsidRPr="002B7710" w:rsidRDefault="00F7078F">
      <w:pPr>
        <w:spacing w:after="100" w:line="288" w:lineRule="auto"/>
        <w:rPr>
          <w:b/>
          <w:bCs/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관련 기록</w:t>
      </w:r>
    </w:p>
    <w:p w14:paraId="097E891F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SH-FM-066 제품안전 요구사항대장</w:t>
      </w:r>
    </w:p>
    <w:p w14:paraId="565F1B7D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lastRenderedPageBreak/>
        <w:t>• SH-FM-067 제품안전 특성관리대장</w:t>
      </w:r>
    </w:p>
    <w:p w14:paraId="19AE7137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SH-FM-068 제품안전 에스컬레이션 보고서</w:t>
      </w:r>
    </w:p>
    <w:p w14:paraId="543A068C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SH-FM-069 제품안전 연간점검표</w:t>
      </w:r>
    </w:p>
    <w:p w14:paraId="1BD4ACD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제품안전 관리 절차서 업무를 수행하는 부서와 관련 기록에 적용한다.</w:t>
      </w:r>
    </w:p>
    <w:p w14:paraId="1BD4ACD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1BD4ACD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문서관리 및 기록관리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20"/>
      <w:footerReference w:type="default" r:id="rId21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FE53" w14:textId="77777777" w:rsidR="00063ECA" w:rsidRDefault="00063ECA">
    <w:pPr>
      <w:spacing w:after="0"/>
    </w:pPr>
    <w:r>
      <w:t xml:space="preserve">(주)신화에이치앤티  |  SH-QP-022  |  문서상태: 승인완료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