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SH-QP-008 모니터링및측정자원관리절차서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SH-QP-008 부분을 낱개 문서로 발행하기 위한 개정본이며 내용은 통합문서와 동일하다.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계측기 관리 절차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측정시스템 분석(MSA)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교정 부적합 영향평가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사내/외 시험실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53F3D4A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SH-QP-008 모니터링 및 측정자원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23E01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1C5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21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3B2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88E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C96B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7C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738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26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F89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B9431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779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15EC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4E54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92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1C02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CA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0F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AFBD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089A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C7C9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A9F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5A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2A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C2F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7.1.5 /</w:t>
            </w:r>
            <w:proofErr w:type="gramEnd"/>
            <w:r>
              <w:rPr>
                <w:sz w:val="18"/>
                <w:lang w:eastAsia="ko-KR"/>
              </w:rPr>
              <w:t xml:space="preserve"> IATF MSA·교정·시험실 요구</w:t>
            </w:r>
          </w:p>
        </w:tc>
      </w:tr>
      <w:tr w:rsidR="008E371C" w14:paraId="0CC7C9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A9F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5A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2A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C2F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시험에 사용하는 측정자원의 정확성, 적합성 및 추적성을 확보하고 측정시스템의 변동을 평가하는 방법을 규정한다.</w:t>
      </w:r>
    </w:p>
    <w:p w14:paraId="7BD8F81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4DB34A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계측기,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, 시험장비, </w:t>
      </w:r>
      <w:proofErr w:type="spellStart"/>
      <w:r>
        <w:rPr>
          <w:sz w:val="21"/>
          <w:lang w:eastAsia="ko-KR"/>
        </w:rPr>
        <w:t>기준기</w:t>
      </w:r>
      <w:proofErr w:type="spellEnd"/>
      <w:r>
        <w:rPr>
          <w:sz w:val="21"/>
          <w:lang w:eastAsia="ko-KR"/>
        </w:rPr>
        <w:t>, 측정 소프트웨어 및 사내·외 시험/교정 서비스에 적용한다.</w:t>
      </w:r>
    </w:p>
    <w:p w14:paraId="7241B6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계측기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379B1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BCF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A74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18D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F6956E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6B2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31D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분해능, 정확도, 사용환경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01B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426C19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701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F5D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고유번호, 위치, 주기, 상태 등록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5AB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  <w:tr w:rsidR="008E371C" w14:paraId="58FC71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E2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826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및 기준에 따라 수행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F3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검증기록</w:t>
            </w:r>
            <w:proofErr w:type="spellEnd"/>
          </w:p>
        </w:tc>
      </w:tr>
      <w:tr w:rsidR="008E371C" w14:paraId="0E2B8E2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C4F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59F8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 및 차기 예정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5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7F2FF50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8FB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B2A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충격, 오염, 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E1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A3942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7A1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4C5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영향기간·제품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DD3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023316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473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315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후 사용불가 식별 및 대장갱신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947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</w:tbl>
    <w:p w14:paraId="7CE96C3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측정시스템 분석(MSA)</w:t>
      </w:r>
    </w:p>
    <w:p w14:paraId="21EA5B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회사 기준에서 지정한 측정시스템은 적절한 MSA를 수행한다. 계량형 Gauge R&amp;R, Bias, Linearity, Stability 및 계수형 분석 등은 측정 특성과 고객 요구에 따라 적용한다.</w:t>
      </w:r>
    </w:p>
    <w:p w14:paraId="36D620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신규 계측/검사 시스템 도입 시</w:t>
      </w:r>
    </w:p>
    <w:p w14:paraId="4F9CCF8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중대한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수리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후</w:t>
      </w:r>
    </w:p>
    <w:p w14:paraId="4DD1AFC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/방법/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 시 필요성 평가</w:t>
      </w:r>
    </w:p>
    <w:p w14:paraId="0051414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재분석은 고객 및 내부 기준에 따라 수행</w:t>
      </w:r>
    </w:p>
    <w:p w14:paraId="4843294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교정 부적합 영향평가</w:t>
      </w:r>
    </w:p>
    <w:p w14:paraId="539337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교정 또는 검증에서 허용범위를 벗어난 장비가 발견되면 마지막 유효상태 이후의 측정결과를 평가한다. 필요 시 관련 제품 격리, </w:t>
      </w:r>
      <w:proofErr w:type="spellStart"/>
      <w:r>
        <w:rPr>
          <w:sz w:val="21"/>
          <w:lang w:eastAsia="ko-KR"/>
        </w:rPr>
        <w:t>재측정</w:t>
      </w:r>
      <w:proofErr w:type="spellEnd"/>
      <w:r>
        <w:rPr>
          <w:sz w:val="21"/>
          <w:lang w:eastAsia="ko-KR"/>
        </w:rPr>
        <w:t>, 고객 통보 및 시정조치를 수행한다.</w:t>
      </w:r>
    </w:p>
    <w:p w14:paraId="51C12B8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사내/외 시험실</w:t>
      </w:r>
    </w:p>
    <w:p w14:paraId="7AAFD4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시험실은 시험범위, 방법, 적격인원, 장비 및 기록을 정의한다. 외부 시험/교정기관은 적용되는 고객 요구 및 인정범위를 확인하여 선정한다.</w:t>
      </w:r>
    </w:p>
    <w:p w14:paraId="46715EC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CB8C8D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DBE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0D6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20CD57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EF0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9F3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1460CB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554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교정·검증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2B8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ACB679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283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24A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75DD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1E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3D8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EF0ED5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9BD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6A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4"/>
      <w:footerReference w:type="default" r:id="rId1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 xml:space="preserve">(주)신화에이치앤티  |  SH-QP-008  |  문서상태: 승인완료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