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SH-WI-018 재작업및수리작업표준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SH-WI-018 부분을 낱개 문서로 발행하기 위한 개정본이며 내용은 통합문서와 동일하다.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재작업/수리 승인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실행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재작업 후 검사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수리품 관리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종결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7EA924C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SH-WI-018 재작업 및 수리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8C990B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F5D8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46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C60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AC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67D1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C119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CF0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57A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32A9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8A98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7E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955D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재작업 및 수리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F83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659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9FF7D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4A2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238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FC9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6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7B3CAF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2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797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7B6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308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  <w:tr w:rsidR="008E371C" w14:paraId="07B3CAF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2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797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7B6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308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부적합품의 재작업 또는 수리를 승인된 방법으로 수행하고 전후 검사와 추적성을 유지하여 추가 결함 및 부적합 유출을 방지한다.</w:t>
      </w:r>
    </w:p>
    <w:p w14:paraId="290F7FD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수리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D7C0D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A812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254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19E540F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E27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46EA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수량, 불량모드 확인</w:t>
            </w:r>
          </w:p>
        </w:tc>
      </w:tr>
      <w:tr w:rsidR="008E371C" w14:paraId="1564A76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98D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455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재작업/수리 표준 사용</w:t>
            </w:r>
          </w:p>
        </w:tc>
      </w:tr>
      <w:tr w:rsidR="008E371C" w14:paraId="554E66A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78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55A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추가 특성 영향 및 제품안전 검토</w:t>
            </w:r>
          </w:p>
        </w:tc>
      </w:tr>
      <w:tr w:rsidR="008E371C" w14:paraId="2E5367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4A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87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시 사전 승인/특채 확인</w:t>
            </w:r>
          </w:p>
        </w:tc>
      </w:tr>
      <w:tr w:rsidR="008E371C" w14:paraId="4811518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804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237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E1AC2D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1C2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41D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전후 검사방법과 판정기준 정의</w:t>
            </w:r>
          </w:p>
        </w:tc>
      </w:tr>
    </w:tbl>
    <w:p w14:paraId="13B2043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2F5825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재작업품은 정상 양산품과 분리된 위치에서 작업</w:t>
      </w:r>
    </w:p>
    <w:p w14:paraId="6390FA6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공구,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조건만 사용</w:t>
      </w:r>
    </w:p>
    <w:p w14:paraId="4BE2DCC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 LOT와 재작업 관리번호를 유지</w:t>
      </w:r>
    </w:p>
    <w:p w14:paraId="593C30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작업수량, 작업자, 일시 및 처리내용 기록</w:t>
      </w:r>
    </w:p>
    <w:p w14:paraId="751DB4E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추가 결함 발생 시 즉시 작업 중단 및 품질 보고</w:t>
      </w:r>
    </w:p>
    <w:p w14:paraId="0FB10A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재작업 후 검사</w:t>
      </w:r>
    </w:p>
    <w:p w14:paraId="15F77BF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특성뿐 아니라 작업으로 영향을 받을 수 있는 관련 특성을 검사한다. 필요한 경우 100% 검사 또는 강화검사를 실시한다.</w:t>
      </w:r>
    </w:p>
    <w:p w14:paraId="525C70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수리품 관리</w:t>
      </w:r>
    </w:p>
    <w:p w14:paraId="3F6324A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수리는 원래 요구사항을 완전히 복원하지 못할 수 있으므로 고객 승인 또는 특채가 필요한지 검토한다. 승인 없는 수리품 출하를 금지한다.</w:t>
      </w:r>
    </w:p>
    <w:p w14:paraId="59820E5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종결</w:t>
      </w:r>
    </w:p>
    <w:p w14:paraId="6D6DA44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합격품은 승인된 식별 후 정상 흐름으로 복귀시키고 불합격품은 </w:t>
      </w:r>
      <w:proofErr w:type="spellStart"/>
      <w:r>
        <w:rPr>
          <w:sz w:val="21"/>
          <w:lang w:eastAsia="ko-KR"/>
        </w:rPr>
        <w:t>재격리한다</w:t>
      </w:r>
      <w:proofErr w:type="spellEnd"/>
      <w:r>
        <w:rPr>
          <w:sz w:val="21"/>
          <w:lang w:eastAsia="ko-KR"/>
        </w:rPr>
        <w:t>. 전후 검사 및 최종판정 기록을 보존한다.</w:t>
      </w:r>
    </w:p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재작업 및 수리 작업표준 업무를 수행하는 부서와 관련 기록에 적용한다.</w:t>
      </w:r>
    </w:p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재작업/수리 승인', '3. 작업 실행', '4. 재작업 후 검사', '5. 수리품 관리', '6. 종결'에서 정한 절차에 따른다.</w:t>
      </w:r>
    </w:p>
    <w:sectPr w:rsidR="008E371C">
      <w:headerReference w:type="default" r:id="rId28"/>
      <w:footerReference w:type="default" r:id="rId2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 xml:space="preserve">(주)신화에이치앤티  |  SH-WI-018  |  문서상태: 승인완료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