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F7A8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1C5F7A8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SH-WI-028 장기재고및유효기간관리표준</w:t>
      </w:r>
    </w:p>
    <w:p w14:paraId="1C5F7A8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문서상태: 승인완료</w:t>
      </w:r>
    </w:p>
    <w:p w14:paraId="1C5F7A8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SH-WI-028 부분을 낱개 문서로 발행하기 위한 개정본이며 내용은 통합문서와 동일하다.</w:t>
      </w:r>
    </w:p>
    <w:p w14:paraId="1C5F7A8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1C5F7A8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1C5F7A8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관리 대상</w:t>
      </w:r>
    </w:p>
    <w:p w14:paraId="1C5F7A8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정기 확인</w:t>
      </w:r>
    </w:p>
    <w:p w14:paraId="1C5F7A8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유효기간 임박/초과</w:t>
      </w:r>
    </w:p>
    <w:p w14:paraId="1C5F7A8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장기재고 재투입</w:t>
      </w:r>
    </w:p>
    <w:p w14:paraId="1C5F7A8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적용범위</w:t>
      </w:r>
    </w:p>
    <w:p w14:paraId="1C5F7A8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보존기간</w:t>
      </w:r>
    </w:p>
    <w:p w14:paraId="1C5F7A8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작업방법</w:t>
      </w:r>
    </w:p>
    <w:p w14:paraId="3D539CDA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SH-WI-028 장기재고 및 유효기간 관리표준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2BD3F1D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B5285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D986F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1AB69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DCE15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953B71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2B0F1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EE606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SH-WI-028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F576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CD5571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1220168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A34AB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7711A5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장기재고 및 유효기간 관리표준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ECD0D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13AEA7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723AAD3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0C4AE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A232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893C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D7DCB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5E02397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152B2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24FB9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D49ED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DE161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SH-QP-019 / SH-QP-013 / SH-QP-018</w:t>
            </w:r>
          </w:p>
        </w:tc>
      </w:tr>
      <w:tr w:rsidR="008E371C" w14:paraId="5E02397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152B2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24FB9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D49ED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DE161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16642EA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1C5F7A8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장기 보관 또는 유효기간 적용 자재와 제품의 열화, 부식, 오염 및 사양변경 위험을 통제하여 부적합 사용과 출하를 예방한다.</w:t>
      </w:r>
    </w:p>
    <w:p w14:paraId="15EBE15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대상</w:t>
      </w:r>
      <w:proofErr w:type="spellEnd"/>
    </w:p>
    <w:p w14:paraId="1531643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유효기간이 지정된 자재·접착제·화학품 등</w:t>
      </w:r>
    </w:p>
    <w:p w14:paraId="22DF152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방청/포장상태에 따라 열화 가능한 부품</w:t>
      </w:r>
    </w:p>
    <w:p w14:paraId="633B84A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사내 기준 이상 장기간 미사용 원자재·</w:t>
      </w:r>
      <w:proofErr w:type="spellStart"/>
      <w:r>
        <w:rPr>
          <w:sz w:val="21"/>
          <w:lang w:eastAsia="ko-KR"/>
        </w:rPr>
        <w:t>재공</w:t>
      </w:r>
      <w:proofErr w:type="spellEnd"/>
      <w:r>
        <w:rPr>
          <w:sz w:val="21"/>
          <w:lang w:eastAsia="ko-KR"/>
        </w:rPr>
        <w:t>·완제품</w:t>
      </w:r>
    </w:p>
    <w:p w14:paraId="7D5E0FA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설계/사양 변경 전 생산된 재고</w:t>
      </w:r>
    </w:p>
    <w:p w14:paraId="1C8B70F5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고객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지정</w:t>
      </w:r>
      <w:proofErr w:type="spellEnd"/>
      <w:r>
        <w:rPr>
          <w:sz w:val="21"/>
        </w:rPr>
        <w:t xml:space="preserve"> Shelf-life </w:t>
      </w:r>
      <w:proofErr w:type="spellStart"/>
      <w:r>
        <w:rPr>
          <w:sz w:val="21"/>
        </w:rPr>
        <w:t>관리품</w:t>
      </w:r>
      <w:proofErr w:type="spellEnd"/>
    </w:p>
    <w:p w14:paraId="2C79211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정기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5047297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F6A6F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708CD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확인내용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D769D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</w:tr>
      <w:tr w:rsidR="008E371C" w14:paraId="0E3E31F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ACCC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339BD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입고/생산일 및 유효기간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EEBFB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FEFO/FIFO</w:t>
            </w:r>
          </w:p>
        </w:tc>
      </w:tr>
      <w:tr w:rsidR="008E371C" w14:paraId="4D0A20B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1094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2080D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부식·변색·오염·변형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FB0C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재검사</w:t>
            </w:r>
            <w:proofErr w:type="spellEnd"/>
          </w:p>
        </w:tc>
      </w:tr>
      <w:tr w:rsidR="008E371C" w14:paraId="3DF9068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951B9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포장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4F476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밀봉·방청·용기 상태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73A1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재포장</w:t>
            </w:r>
            <w:proofErr w:type="spellEnd"/>
          </w:p>
        </w:tc>
      </w:tr>
      <w:tr w:rsidR="008E371C" w14:paraId="7F9D863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7BD12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사양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132E1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 도면/Rev와 일치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DC04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영향평가</w:t>
            </w:r>
            <w:proofErr w:type="spellEnd"/>
          </w:p>
        </w:tc>
      </w:tr>
      <w:tr w:rsidR="008E371C" w14:paraId="7018709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32C51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추적성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F1C5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LOT/</w:t>
            </w:r>
            <w:proofErr w:type="spellStart"/>
            <w:r>
              <w:rPr>
                <w:sz w:val="18"/>
              </w:rPr>
              <w:t>라벨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판독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가능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AEA5B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재식별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보류</w:t>
            </w:r>
            <w:proofErr w:type="spellEnd"/>
          </w:p>
        </w:tc>
      </w:tr>
      <w:tr w:rsidR="008E371C" w14:paraId="4A2DE83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A333A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018A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필요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특성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재검사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397AE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출하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판정</w:t>
            </w:r>
            <w:proofErr w:type="spellEnd"/>
          </w:p>
        </w:tc>
      </w:tr>
    </w:tbl>
    <w:p w14:paraId="5E321AB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유효기간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임박</w:t>
      </w:r>
      <w:proofErr w:type="spellEnd"/>
      <w:r>
        <w:rPr>
          <w:rFonts w:ascii="맑은 고딕" w:eastAsia="맑은 고딕" w:hAnsi="맑은 고딕" w:cs="맑은 고딕"/>
          <w:sz w:val="24"/>
        </w:rPr>
        <w:t>/</w:t>
      </w:r>
      <w:proofErr w:type="spellStart"/>
      <w:r>
        <w:rPr>
          <w:rFonts w:ascii="맑은 고딕" w:eastAsia="맑은 고딕" w:hAnsi="맑은 고딕" w:cs="맑은 고딕"/>
          <w:sz w:val="24"/>
        </w:rPr>
        <w:t>초과</w:t>
      </w:r>
      <w:proofErr w:type="spellEnd"/>
    </w:p>
    <w:p w14:paraId="4338843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임박품은 우선 사용 가능성을 검토하되 품질과 생산계획을 고려한다. 유효기간 초과품은 승인 없이 사용하지 않으며 재검사 또는 공급자/고객 승인 기준에 따라 판정한다.</w:t>
      </w:r>
    </w:p>
    <w:p w14:paraId="6A34739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5. 장기재고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재투입</w:t>
      </w:r>
      <w:proofErr w:type="spellEnd"/>
    </w:p>
    <w:p w14:paraId="79424FB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장기재고를 생산 또는 출하에 투입하기 전 최신 사양, 외관, 포장, 기능/치수 등 필요한 특성을 확인하고 승인 결과를 기록한다.</w:t>
      </w:r>
    </w:p>
    <w:p w14:paraId="16642EA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적용범위</w:t>
      </w:r>
    </w:p>
    <w:p w14:paraId="1C5F7A8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장기재고 및 유효기간 관리표준 업무를 수행하는 부서와 관련 기록에 적용한다.</w:t>
      </w:r>
    </w:p>
    <w:p w14:paraId="16642EA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보존기간</w:t>
      </w:r>
    </w:p>
    <w:p w14:paraId="1C5F7A8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16642EA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작업방법</w:t>
      </w:r>
    </w:p>
    <w:p w14:paraId="1C5F7A8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표준의 작업방법은 '2. 관리 대상', '3. 정기 확인', '4. 유효기간 임박/초과', '5. 장기재고 재투입'에서 정한 절차에 따른다.</w:t>
      </w:r>
    </w:p>
    <w:sectPr w:rsidR="008E371C" w:rsidSect="00034616">
      <w:headerReference w:type="default" r:id="rId32"/>
      <w:footerReference w:type="default" r:id="rId33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6CE0D" w14:textId="77777777" w:rsidR="00063ECA" w:rsidRDefault="00063ECA">
    <w:pPr>
      <w:spacing w:after="0"/>
    </w:pPr>
    <w:r>
      <w:t xml:space="preserve">(주)신화에이치앤티  |  SH-WI-028  |  문서상태: 승인완료</w:t>
    </w: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