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SH-QP-001 경영검토절차서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SH-QP-001 부분을 낱개 문서로 발행하기 위한 개정본이며 내용은 통합문서와 동일하다.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책임과 권한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절차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필수 입력사항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출력 및 후속관리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4BE6ED2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SH-QP-001 경영검토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43D047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4A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4D0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DC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011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67CBF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159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3BD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B9B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CDD26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7964A2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F4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A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CF1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F0E5A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6A3E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30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80D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F95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1A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9.3 /</w:t>
            </w:r>
            <w:proofErr w:type="gramEnd"/>
            <w:r>
              <w:rPr>
                <w:sz w:val="18"/>
                <w:lang w:eastAsia="ko-KR"/>
              </w:rPr>
              <w:t xml:space="preserve"> IATF 9.3 보충 요구</w:t>
            </w:r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본 절차는 최고경영자가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검토하고 필요한 의사결정과 자원을 확정하는 방법을 규정한다.</w:t>
      </w:r>
    </w:p>
    <w:p w14:paraId="616461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305157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전 프로세스, 고객성과, 제품·공정성과, 공급자, 심사, 자원, 리스크 및 개선활동에 적용한다.</w:t>
      </w:r>
    </w:p>
    <w:p w14:paraId="5515B0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DD92F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CE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39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025FF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079B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518D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 주관, 주요 의사결정, 자원 승인</w:t>
            </w:r>
          </w:p>
        </w:tc>
      </w:tr>
      <w:tr w:rsidR="008E371C" w14:paraId="50314A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97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D32C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취합, 안건 구성, 회의 운영, Action 추적</w:t>
            </w:r>
          </w:p>
        </w:tc>
      </w:tr>
      <w:tr w:rsidR="008E371C" w14:paraId="68CF00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99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7C36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KPI/리스크/개선실적 제출 및 후속조치</w:t>
            </w:r>
          </w:p>
        </w:tc>
      </w:tr>
      <w:tr w:rsidR="008E371C" w14:paraId="273F71A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BA6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간사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500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회의록, 배포, 조치기한 관리</w:t>
            </w:r>
          </w:p>
        </w:tc>
      </w:tr>
    </w:tbl>
    <w:p w14:paraId="47F823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ACBD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7E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53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651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B14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9349FF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E09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AAC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경영검토 계획 수립 및 일정 공지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87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FB0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369C4F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35C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1AB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입력자료 취합 및 전회 조치상태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9F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AFD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입력자료</w:t>
            </w:r>
            <w:proofErr w:type="spellEnd"/>
          </w:p>
        </w:tc>
      </w:tr>
      <w:tr w:rsidR="008E371C" w14:paraId="25377D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5465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924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성과, 고객, 심사, 공급자, 자원, 리스크 검토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228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BA1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회의자료</w:t>
            </w:r>
            <w:proofErr w:type="spellEnd"/>
          </w:p>
        </w:tc>
      </w:tr>
      <w:tr w:rsidR="008E371C" w14:paraId="7C76285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30B1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E864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개선, 자원, 목표, 리스크 관련 의사결정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1CF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FD7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결정사항</w:t>
            </w:r>
            <w:proofErr w:type="spellEnd"/>
          </w:p>
        </w:tc>
      </w:tr>
      <w:tr w:rsidR="008E371C" w14:paraId="5EDB0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72A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51B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책임자·기한이 있는 Action Item 등록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78A9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AE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회의록</w:t>
            </w:r>
            <w:proofErr w:type="spellEnd"/>
            <w:r>
              <w:rPr>
                <w:sz w:val="18"/>
              </w:rPr>
              <w:t>/Action</w:t>
            </w:r>
          </w:p>
        </w:tc>
      </w:tr>
      <w:tr w:rsidR="008E371C" w14:paraId="567A0C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76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6E0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진행 및 효과 확인, 미완료 건 상향보고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7D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835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추적기록</w:t>
            </w:r>
            <w:proofErr w:type="spellEnd"/>
          </w:p>
        </w:tc>
      </w:tr>
    </w:tbl>
    <w:p w14:paraId="233512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필수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입력사항</w:t>
      </w:r>
      <w:proofErr w:type="spellEnd"/>
    </w:p>
    <w:p w14:paraId="460705C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전회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경영검토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조치상태</w:t>
      </w:r>
      <w:proofErr w:type="spellEnd"/>
    </w:p>
    <w:p w14:paraId="1675EE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이해관계자/CSR 변화</w:t>
      </w:r>
    </w:p>
    <w:p w14:paraId="453D10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클레임, 납기, 고객평가 및 보증</w:t>
      </w:r>
    </w:p>
    <w:p w14:paraId="529BA9B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품질목표/KPI 및 제조공정 성과</w:t>
      </w:r>
    </w:p>
    <w:p w14:paraId="38C9AF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내부·고객·인증 심사 결과</w:t>
      </w:r>
    </w:p>
    <w:p w14:paraId="2C4CCDE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품질·납기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</w:p>
    <w:p w14:paraId="1983E46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인원·설비·Capacity·측정·교육 등 자원 적정성</w:t>
      </w:r>
    </w:p>
    <w:p w14:paraId="73DDC97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리스크와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효과</w:t>
      </w:r>
      <w:proofErr w:type="spellEnd"/>
    </w:p>
    <w:p w14:paraId="1E878F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부적합/시정조치 및 지속개선</w:t>
      </w:r>
    </w:p>
    <w:p w14:paraId="518ECD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비상계획, 제품안전 및 중대한 변경사항</w:t>
      </w:r>
    </w:p>
    <w:p w14:paraId="6E7F1B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출력 및 후속관리</w:t>
      </w:r>
    </w:p>
    <w:p w14:paraId="1D433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출력에는 QMS/공정 개선, 제품·서비스 개선, 자원 필요, 목표 변경, 리스크 조치 및 책임·기한이 명확한 Action을 포함한다. 미완료 Action은 다음 경영검토까지 추적하되 중대한 사항은 정기회의에서 별도 관리한다.</w:t>
      </w:r>
    </w:p>
    <w:p w14:paraId="35BD51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501A9C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736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12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599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CD89F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A7F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7D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163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DFA3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C8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회의록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AFD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3EA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47623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87D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Action Item </w:t>
            </w:r>
            <w:proofErr w:type="spellStart"/>
            <w:r>
              <w:rPr>
                <w:sz w:val="18"/>
              </w:rPr>
              <w:t>추적표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541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효과확인까지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C6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>(주)신화에이치앤티  |  SH-QP-001  | 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