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SH-QP-007 설비및예방보전관리절차서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SH-QP-007 부분을 낱개 문서로 발행하기 위한 개정본이며 내용은 통합문서와 동일하다.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설비 관리 절차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예방보전 계획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금형 및 치공구 관리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설비고장 및 비상대응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KPI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  <w:proofErr w:type="spellStart"/>
      <w:proofErr w:type="spellEnd"/>
      <w:proofErr w:type="spellStart"/>
      <w:proofErr w:type="spellEnd"/>
    </w:p>
    <w:p w14:paraId="107D5ED1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SH-QP-007 설비 및 예방보전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1ECAC2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B20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0373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873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42E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CAB180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619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1DE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54C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6F1E7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BB2FF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C51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CD11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및 예방보전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E6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574E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6A15F7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30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C0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6E4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DF1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C397E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83A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4A7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0DE4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9AC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7.1.3 /</w:t>
            </w:r>
            <w:proofErr w:type="gramEnd"/>
            <w:r>
              <w:rPr>
                <w:sz w:val="18"/>
                <w:lang w:eastAsia="ko-KR"/>
              </w:rPr>
              <w:t xml:space="preserve"> IATF 생산설비·TPM 관련 요구</w:t>
            </w:r>
          </w:p>
        </w:tc>
      </w:tr>
      <w:tr w:rsidR="008E371C" w14:paraId="3C397E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83A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4A7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0DE4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9AC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04A7101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생산설비,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및 유틸리티의 가용성과 공정능력을 유지하여 제품 적합성과 </w:t>
      </w:r>
      <w:proofErr w:type="spellStart"/>
      <w:r>
        <w:rPr>
          <w:sz w:val="21"/>
          <w:lang w:eastAsia="ko-KR"/>
        </w:rPr>
        <w:t>공급연속성을</w:t>
      </w:r>
      <w:proofErr w:type="spellEnd"/>
      <w:r>
        <w:rPr>
          <w:sz w:val="21"/>
          <w:lang w:eastAsia="ko-KR"/>
        </w:rPr>
        <w:t xml:space="preserve"> 확보하는 방법을 규정한다.</w:t>
      </w:r>
    </w:p>
    <w:p w14:paraId="530B2B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E84E0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중요 유틸리티 및 생산지원 장비에 적용한다.</w:t>
      </w:r>
    </w:p>
    <w:p w14:paraId="7AB4B92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설비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B4314A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133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4A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479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38305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B29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991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Capacity, 안전, 승인 및 설비번호 부여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136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설비대장</w:t>
            </w:r>
            <w:proofErr w:type="spellEnd"/>
          </w:p>
        </w:tc>
      </w:tr>
      <w:tr w:rsidR="008E371C" w14:paraId="3B7687A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A1B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0D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전/교대별 주요 조건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B76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일상점검표</w:t>
            </w:r>
            <w:proofErr w:type="spellEnd"/>
          </w:p>
        </w:tc>
      </w:tr>
      <w:tr w:rsidR="008E371C" w14:paraId="6CC07E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FC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예방보전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4E16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시간/횟수/상태 기반 계획보전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96E1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PM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</w:tr>
      <w:tr w:rsidR="008E371C" w14:paraId="41AD13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25A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예측보전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481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설비의 상태 데이터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826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상태점검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32650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1DF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90C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원인분석, 영향제품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5BB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고장이력</w:t>
            </w:r>
            <w:proofErr w:type="spellEnd"/>
          </w:p>
        </w:tc>
      </w:tr>
      <w:tr w:rsidR="008E371C" w14:paraId="628EEA9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3D8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8D9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핵심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선정 및 적정재고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6B1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예비품대장</w:t>
            </w:r>
            <w:proofErr w:type="spellEnd"/>
          </w:p>
        </w:tc>
      </w:tr>
      <w:tr w:rsidR="008E371C" w14:paraId="7CA72B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AB8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603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영향평가, 승인, 이력갱신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BE1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344ADDA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예방보전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37255E9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중요도, 고장이력, 제조사 권고, 생산부하 및 제품 리스크를 고려해 보전주기와 항목을 정한다.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 xml:space="preserve"> 또는 지연 시 생산·품질 리스크를 평가하고 대체조치를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</w:t>
      </w:r>
    </w:p>
    <w:p w14:paraId="2FAB101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금형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5095FE0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고유번호와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소유권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식별</w:t>
      </w:r>
      <w:proofErr w:type="spellEnd"/>
    </w:p>
    <w:p w14:paraId="253F360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사용수명/타수 및 상태관리</w:t>
      </w:r>
    </w:p>
    <w:p w14:paraId="05094C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수리·수정·변경 이력관리</w:t>
      </w:r>
    </w:p>
    <w:p w14:paraId="50CC1BB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보관</w:t>
      </w:r>
      <w:proofErr w:type="spellEnd"/>
      <w:r>
        <w:rPr>
          <w:sz w:val="21"/>
        </w:rPr>
        <w:t xml:space="preserve"> 중 </w:t>
      </w:r>
      <w:proofErr w:type="spellStart"/>
      <w:r>
        <w:rPr>
          <w:sz w:val="21"/>
        </w:rPr>
        <w:t>손상·부식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방지</w:t>
      </w:r>
      <w:proofErr w:type="spellEnd"/>
    </w:p>
    <w:p w14:paraId="415013A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고객소유 자산은 고객 요구에 따른 추가 식별</w:t>
      </w:r>
    </w:p>
    <w:p w14:paraId="380F7F4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설비고장 및 비상대응</w:t>
      </w:r>
    </w:p>
    <w:p w14:paraId="4593BAA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핵심설비 고장 시 생산중지, 영향제품 격리, 수리 및 복구검증을 실시한다. 장기 공급중단 가능성이 있으면 비상계획을 발동하고 필요 시 고객과 </w:t>
      </w:r>
      <w:proofErr w:type="spellStart"/>
      <w:r>
        <w:rPr>
          <w:sz w:val="21"/>
          <w:lang w:eastAsia="ko-KR"/>
        </w:rPr>
        <w:t>의사소통한다</w:t>
      </w:r>
      <w:proofErr w:type="spellEnd"/>
      <w:r>
        <w:rPr>
          <w:sz w:val="21"/>
          <w:lang w:eastAsia="ko-KR"/>
        </w:rPr>
        <w:t>.</w:t>
      </w:r>
    </w:p>
    <w:p w14:paraId="4F6CD1B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5C939DA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7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A29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관리목적</w:t>
            </w:r>
            <w:proofErr w:type="spellEnd"/>
          </w:p>
        </w:tc>
      </w:tr>
      <w:tr w:rsidR="008E371C" w14:paraId="34099B0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D5E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B9D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EAB4D2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C0D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건수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001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33B75EB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B14D9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MTBF/MTTR(적용 시)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BC0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성능</w:t>
            </w:r>
            <w:proofErr w:type="spellEnd"/>
          </w:p>
        </w:tc>
      </w:tr>
      <w:tr w:rsidR="008E371C" w14:paraId="2C1F9D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90C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가동률/OEE(적용 시)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0F9D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손실관리</w:t>
            </w:r>
            <w:proofErr w:type="spellEnd"/>
          </w:p>
        </w:tc>
      </w:tr>
    </w:tbl>
    <w:p w14:paraId="04A7101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  <w:proofErr w:type="spellStart"/>
      <w:proofErr w:type="spellEnd"/>
      <w:proofErr w:type="spellStart"/>
      <w:proofErr w:type="spellEnd"/>
    </w:p>
    <w:p w14:paraId="04A7101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  <w:proofErr w:type="spellStart"/>
      <w:proofErr w:type="spellEnd"/>
    </w:p>
    <w:p w14:paraId="04A7101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  <w:proofErr w:type="spellStart"/>
      <w:proofErr w:type="spellEnd"/>
      <w:proofErr w:type="spellStart"/>
      <w:proofErr w:type="spellEnd"/>
    </w:p>
    <w:sectPr w:rsidR="008E371C">
      <w:headerReference w:type="default" r:id="rId14"/>
      <w:footerReference w:type="default" r:id="rId15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0CB5" w14:textId="77777777" w:rsidR="00063ECA" w:rsidRDefault="00063ECA">
    <w:pPr>
      <w:spacing w:after="0"/>
    </w:pPr>
    <w:r>
      <w:t>(주)신화에이치앤티  |  SH-QP-007  |  문서상태: 개정초안(미승인)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