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SH-QP-010 APQP및PPAP관리절차서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SH-QP-010 부분을 낱개 문서로 발행하기 위한 개정본이며 내용은 통합문서와 동일하다.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APQP 운영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다기능팀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PFMEA·Control Plan 연계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PPAP 제출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변경 및 재승인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양산 초기유동관리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관련 기록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책임과 권한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11. 보존기간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12. 문서관리 및 기록관리</w:t>
      </w:r>
    </w:p>
    <w:p w14:paraId="133A9289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SH-QP-010 APQP 및 PPAP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BC28E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456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DD6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F5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3EB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06DD8C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9A8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25E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EB9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0B57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A2E15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299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0B3C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및 PPAP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CF2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D2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328BA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5C2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5CF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49B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799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7CED6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8DF3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5D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B632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9668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8.3 /</w:t>
            </w:r>
            <w:proofErr w:type="gramEnd"/>
            <w:r>
              <w:rPr>
                <w:sz w:val="18"/>
                <w:lang w:eastAsia="ko-KR"/>
              </w:rPr>
              <w:t xml:space="preserve"> IATF 제품·제조공정 설계 및 승인</w:t>
            </w:r>
          </w:p>
        </w:tc>
      </w:tr>
      <w:tr w:rsidR="008E371C" w14:paraId="57CED6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8DF3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5D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B632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9668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350624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변경제품의 양산 준비를 다기능팀 기반으로 체계적으로 계획하고, 제조공정의 적합성을 검증하여 고객이 요구하는 PPAP 승인을 확보하는 방법을 규정한다.</w:t>
      </w:r>
    </w:p>
    <w:p w14:paraId="5320E7A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3062C91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신규제품, 신규공정, 생산장소 이전, 주요 4M 변경, 고객이 요구하는 재승인 및 PPAP 대상에 적용한다.</w:t>
      </w:r>
    </w:p>
    <w:p w14:paraId="58C8E9F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APQP </w:t>
      </w:r>
      <w:proofErr w:type="spellStart"/>
      <w:r>
        <w:rPr>
          <w:rFonts w:ascii="맑은 고딕" w:eastAsia="맑은 고딕" w:hAnsi="맑은 고딕" w:cs="맑은 고딕"/>
          <w:sz w:val="24"/>
        </w:rPr>
        <w:t>운영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DD36C0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AF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1F39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92A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457E0F7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B33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C41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>, 팀,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1747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</w:tr>
      <w:tr w:rsidR="008E371C" w14:paraId="759FF1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2402F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2F3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특수특성, 공정개념, 자재/공급자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2EE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특성목록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</w:tr>
      <w:tr w:rsidR="008E371C" w14:paraId="100133C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C3B4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4A417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설비/금형, WI, 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F7B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PFMEA/CP/WI</w:t>
            </w:r>
          </w:p>
        </w:tc>
      </w:tr>
      <w:tr w:rsidR="008E371C" w14:paraId="126F63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CDBA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F32E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  <w:r>
              <w:rPr>
                <w:sz w:val="18"/>
                <w:lang w:eastAsia="ko-KR"/>
              </w:rPr>
              <w:t>, MSA, 공정능력, 포장/검사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3F10A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MSA/</w:t>
            </w: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/Run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0E054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0C8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20C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PPAP 자료 취합 및 고객 제출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5C1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0932D9C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C6C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FB5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문제관리</w:t>
            </w:r>
            <w:proofErr w:type="spellEnd"/>
            <w:r>
              <w:rPr>
                <w:sz w:val="18"/>
              </w:rPr>
              <w:t>,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DFC2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개선기록</w:t>
            </w:r>
            <w:proofErr w:type="spellEnd"/>
          </w:p>
        </w:tc>
      </w:tr>
    </w:tbl>
    <w:p w14:paraId="7ED90BF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다기능팀</w:t>
      </w:r>
      <w:proofErr w:type="spellEnd"/>
    </w:p>
    <w:p w14:paraId="67AC114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영업, 개발/기술, 품질, 생산, 구매, 자재, 설비 등 필요한 기능으로 팀을 구성하며 고객 요구와 프로젝트 리스크에 따라 공급자 또는 외부전문가를 포함할 수 있다.</w:t>
      </w:r>
    </w:p>
    <w:p w14:paraId="4F201DB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PFMEA·Control Plan 연계</w:t>
      </w:r>
    </w:p>
    <w:p w14:paraId="1E2113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공정흐름도의 모든 공정단계는 PFMEA 및 Control Plan과 일치하도록 관리한다. 특수특성, 예방/검출관리, 검사방법 및 반응계획은 상호 연계하며 변경 시 동시 검토한다.</w:t>
      </w:r>
    </w:p>
    <w:p w14:paraId="7604782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PPAP 제출</w:t>
      </w:r>
    </w:p>
    <w:p w14:paraId="248158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제출수준, 제출항목 및 승인방식은 고객 요구를 따른다. 고객 승인이 필요한 경우 승인 전 정규 양산출하를 하지 않으며 임시승인 조건은 수량·기간·조치계획을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B393F5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201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PPAP </w:t>
            </w: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955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2525B00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EB4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28D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변경상태</w:t>
            </w:r>
            <w:proofErr w:type="spellEnd"/>
          </w:p>
        </w:tc>
      </w:tr>
      <w:tr w:rsidR="008E371C" w14:paraId="7B992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E16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A4A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제조흐름과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58E99AC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094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AC0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</w:tr>
      <w:tr w:rsidR="008E371C" w14:paraId="2FB29B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460A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80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관리계획</w:t>
            </w:r>
            <w:proofErr w:type="spellEnd"/>
          </w:p>
        </w:tc>
      </w:tr>
      <w:tr w:rsidR="008E371C" w14:paraId="2650CBA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D30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010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</w:tr>
      <w:tr w:rsidR="008E371C" w14:paraId="360CED1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28A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77A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  <w:tr w:rsidR="008E371C" w14:paraId="292FB2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F65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031B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중요특성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5DE9437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F120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71C6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승인상태</w:t>
            </w:r>
            <w:proofErr w:type="spellEnd"/>
          </w:p>
        </w:tc>
      </w:tr>
    </w:tbl>
    <w:p w14:paraId="58CE367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재승인</w:t>
      </w:r>
      <w:proofErr w:type="spellEnd"/>
    </w:p>
    <w:p w14:paraId="7A0C9EA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제품, 자재, 공급자, 설비, 금형, 공정, 위치, 검사방법 등 변경 시 고객 통보/PPAP 재승인 필요성을 검토한다. 변경 후 PFMEA, Control Plan, WI, 검사기준, MSA 및 공정능력을 필요한 범위에서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p w14:paraId="512FD06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 양산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초기유동관리</w:t>
      </w:r>
      <w:proofErr w:type="spellEnd"/>
    </w:p>
    <w:p w14:paraId="3259CD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또는 주요 변경 후 초기 양산기간에는 검사 강화, 공정모니터링, 문제점 일일관리 등 </w:t>
      </w:r>
      <w:proofErr w:type="spellStart"/>
      <w:r>
        <w:rPr>
          <w:sz w:val="21"/>
          <w:lang w:eastAsia="ko-KR"/>
        </w:rPr>
        <w:t>초기유동관리를</w:t>
      </w:r>
      <w:proofErr w:type="spellEnd"/>
      <w:r>
        <w:rPr>
          <w:sz w:val="21"/>
          <w:lang w:eastAsia="ko-KR"/>
        </w:rPr>
        <w:t xml:space="preserve"> 실시한다. 종료기준은 품질성과와 고객 요구를 고려해 정한다.</w:t>
      </w:r>
    </w:p>
    <w:p w14:paraId="3A1AD9A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1E56E94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C0B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373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0839251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FEA0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일정/진척관리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2B6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B3F5AE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182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</w:t>
            </w:r>
            <w:proofErr w:type="spellEnd"/>
            <w:r>
              <w:rPr>
                <w:sz w:val="18"/>
              </w:rPr>
              <w:t>/PFMEA/Control Plan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023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5100C1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FD41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MSA/</w:t>
            </w: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783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46423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2B9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PPAP 제출/승인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AB1C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E9611F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3DB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FD6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350624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책임과 권한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350624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11. 보존기간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350624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12. 문서관리 및 기록관리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4"/>
      <w:footerReference w:type="default" r:id="rId15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0CB5" w14:textId="77777777" w:rsidR="00063ECA" w:rsidRDefault="00063ECA">
    <w:pPr>
      <w:spacing w:after="0"/>
    </w:pPr>
    <w:r>
      <w:t>(주)신화에이치앤티  |  SH-QP-010  |  문서상태: 개정초안(미승인)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