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SH-QP-019 보관·포장및출하관리절차서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SH-QP-019 부분을 낱개 문서로 발행하기 위한 개정본이며 내용은 통합문서와 동일하다.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보관관리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포장 및 라벨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출하 승인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납기 및 긴급운송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재고 실사 및 장기재고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1230678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SH-QP-019 보관·포장 및 출하관리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307F2E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F64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0BB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6E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4D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F1193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72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E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08B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30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79D26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C1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0CD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EC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5273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6797E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7F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DC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12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8.5.4,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보존·재고·납기 요구</w:t>
            </w:r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제품의 취급, 보관, 재고회전, 포장, 라벨 및 출하 과정에서 손상·열화·혼입을 방지하고 고객의 납기 및 물류 요구를 충족하는 방법을 규정한다.</w:t>
      </w:r>
    </w:p>
    <w:p w14:paraId="59BD4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보관관리</w:t>
      </w:r>
      <w:proofErr w:type="spellEnd"/>
    </w:p>
    <w:p w14:paraId="4C816F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품목·LOT·검사상태별 구획 및 식별</w:t>
      </w:r>
    </w:p>
    <w:p w14:paraId="1CA0E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 등 승인된 재고회전 방식 적용</w:t>
      </w:r>
    </w:p>
    <w:p w14:paraId="644D79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방청, 습기, 먼지, 충격, 변형 등 제품별 보존조건 관리</w:t>
      </w:r>
    </w:p>
    <w:p w14:paraId="0B3A8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부적합/보류품과 합격품의 물리적 또는 시스템 분리</w:t>
      </w:r>
    </w:p>
    <w:p w14:paraId="5F0794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장기재고는 정기 상태확인 및 필요 시 재검사</w:t>
      </w:r>
    </w:p>
    <w:p w14:paraId="40CE90F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AD220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D60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25A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58A115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87D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A2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지정/승인 포장재 및 청정상태</w:t>
            </w:r>
          </w:p>
        </w:tc>
      </w:tr>
      <w:tr w:rsidR="008E371C" w14:paraId="50BEAF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853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B6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용기당 표준수량 및 실제수량</w:t>
            </w:r>
          </w:p>
        </w:tc>
      </w:tr>
      <w:tr w:rsidR="008E371C" w14:paraId="73967F0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97A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99F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찍힘, 변형, 부식, 오염 방지</w:t>
            </w:r>
          </w:p>
        </w:tc>
      </w:tr>
      <w:tr w:rsidR="008E371C" w14:paraId="2EE5EA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434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F3C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LOT, 고객 지정정보</w:t>
            </w:r>
          </w:p>
        </w:tc>
      </w:tr>
      <w:tr w:rsidR="008E371C" w14:paraId="6086BC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D7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8A8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 전환 시 잔품/라벨 제거</w:t>
            </w:r>
          </w:p>
        </w:tc>
      </w:tr>
      <w:tr w:rsidR="008E371C" w14:paraId="281D70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85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C39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식별 및 상태관리</w:t>
            </w:r>
          </w:p>
        </w:tc>
      </w:tr>
    </w:tbl>
    <w:p w14:paraId="0C80F35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관리 담당은 고객 포장요구, 제품의 변형·찍힘·오염 위험 및 용기의 허용조건을 검토하여 품번별 용기와 적재방법을 정한다. 용기당 수량, 제품 방향, 완충·분리방법, 적재높이·하중·</w:t>
      </w:r>
      <w:proofErr w:type="spellStart"/>
      <w:r>
        <w:rPr>
          <w:sz w:val="21"/>
          <w:lang w:eastAsia="ko-KR"/>
        </w:rPr>
        <w:t>적층한계</w:t>
      </w:r>
      <w:proofErr w:type="spellEnd"/>
      <w:r>
        <w:rPr>
          <w:sz w:val="21"/>
          <w:lang w:eastAsia="ko-KR"/>
        </w:rPr>
        <w:t xml:space="preserve"> 중 필요한 항목을 명시한다.</w:t>
      </w:r>
    </w:p>
    <w:p w14:paraId="4A02E9AD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SH-FM-281 공정제품 용기설정 기준서, SH-FM-282 </w:t>
      </w:r>
      <w:proofErr w:type="spellStart"/>
      <w:r>
        <w:rPr>
          <w:sz w:val="21"/>
          <w:lang w:eastAsia="ko-KR"/>
        </w:rPr>
        <w:t xml:space="preserve">과다적재방지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장입한계기준</w:t>
      </w:r>
      <w:proofErr w:type="spellEnd"/>
      <w:r>
        <w:rPr>
          <w:sz w:val="21"/>
          <w:lang w:eastAsia="ko-KR"/>
        </w:rPr>
        <w:t xml:space="preserve"> 설정에 작성하고 최신 승인 문서관리대장에 따라 보관한다.</w:t>
      </w:r>
    </w:p>
    <w:p w14:paraId="6CCB72B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출하 승인</w:t>
      </w:r>
    </w:p>
    <w:p w14:paraId="53FD44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최종검사 합격, PPAP/특채 승인상태, 포장·라벨, 품번·수량 및 고객 납품조건을 확인한 후 권한자가 출하 승인한다.</w:t>
      </w:r>
    </w:p>
    <w:p w14:paraId="3637EB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납기 및 긴급운송</w:t>
      </w:r>
    </w:p>
    <w:p w14:paraId="1A5D491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납기위험 발생 시 생산·자재·영업이 즉시 대응계획을 수립한다. 회사 귀책의 긴급운송 발생은 원인과 비용을 분석하여 재발방지 활동에 반영한다.</w:t>
      </w:r>
    </w:p>
    <w:p w14:paraId="07CA1E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재고 실사 및 장기재고</w:t>
      </w:r>
    </w:p>
    <w:p w14:paraId="6FF0782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재고실사를 통해 장부와 실물을 일치시키고 장기·불용·유효기간 대상 재고를 식별하여 처분 또는 재검사한다.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보관·포장 및 출하관리 절차서 업무를 수행하는 부서와 관련 기록에 적용한다.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8"/>
      <w:footerReference w:type="default" r:id="rId1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>(주)신화에이치앤티  |  SH-QP-019  |  문서상태: 개정초안(미승인)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