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SH-QP-023 통계적공정관리(SPC)절차서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SH-QP-023 부분을 낱개 문서로 발행하기 위한 개정본이며 내용은 통합문서와 동일하다.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 대상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SPC 사전조건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관리도 운영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공정능력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이상반응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기록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적용범위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보존기간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11. 문서관리 및 기록관리</w:t>
      </w:r>
    </w:p>
    <w:p w14:paraId="511A123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SH-QP-023 통계적 공정관리(SPC)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FC6025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96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B71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8FB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4AD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2AB47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51B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476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4F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7447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80CA2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3D0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1CCA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통계적 공정관리(SPC)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47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082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23027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A55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BB6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CE7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C66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35B09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09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776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0E5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8B3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IATF 9.1.1.1 </w:t>
            </w: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모니터링</w:t>
            </w:r>
            <w:proofErr w:type="spellEnd"/>
            <w:r>
              <w:rPr>
                <w:sz w:val="18"/>
              </w:rPr>
              <w:t xml:space="preserve"> / Core Tools SPC</w:t>
            </w:r>
          </w:p>
        </w:tc>
      </w:tr>
      <w:tr w:rsidR="008E371C" w14:paraId="335B09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09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776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0E5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8B3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</w:tbl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통계적 기법을 활용하여 공정의 안정성과 능력을 모니터링하고 이상원인을 조기에 발견·제거하여 특수특성과 중요 공정의 변동을 지속적으로 감소시키는 방법을 규정한다.</w:t>
      </w:r>
    </w:p>
    <w:p w14:paraId="1E165F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 대상</w:t>
      </w:r>
    </w:p>
    <w:p w14:paraId="5B6156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고객 요구 또는 내부 리스크 평가에서 SPC/공정능력 관리가 지정된 특성 및 공정에 적용한다.</w:t>
      </w:r>
    </w:p>
    <w:p w14:paraId="4034C10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SPC </w:t>
      </w:r>
      <w:proofErr w:type="spellStart"/>
      <w:r>
        <w:rPr>
          <w:rFonts w:ascii="맑은 고딕" w:eastAsia="맑은 고딕" w:hAnsi="맑은 고딕" w:cs="맑은 고딕"/>
          <w:sz w:val="24"/>
        </w:rPr>
        <w:t>사전조건</w:t>
      </w:r>
      <w:proofErr w:type="spellEnd"/>
    </w:p>
    <w:p w14:paraId="42DD6B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측정시스템이 목적에 적합하고 필요한 MSA가 완료될 것</w:t>
      </w:r>
    </w:p>
    <w:p w14:paraId="437D7D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공정조건 및 검사방법이 표준화될 것</w:t>
      </w:r>
    </w:p>
    <w:p w14:paraId="4053C60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관리특성과 샘플링 방법이 Control Plan에 정의될 것</w:t>
      </w:r>
    </w:p>
    <w:p w14:paraId="68E012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작업자/검사자가 관리도와 반응계획을 이해할 것</w:t>
      </w:r>
    </w:p>
    <w:p w14:paraId="772B943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관리도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운영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35512E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257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08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</w:tr>
      <w:tr w:rsidR="008E371C" w14:paraId="56F52FF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20D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9DA5F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주기·표본으로 측정</w:t>
            </w:r>
          </w:p>
        </w:tc>
      </w:tr>
      <w:tr w:rsidR="008E371C" w14:paraId="24349C0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E60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관리한계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0C41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적절한 초기 데이터와 승인기준 사용</w:t>
            </w:r>
          </w:p>
        </w:tc>
      </w:tr>
      <w:tr w:rsidR="008E371C" w14:paraId="40CB9D4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35D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타점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A2C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관리한계 이탈 및 비정상 패턴 확인</w:t>
            </w:r>
          </w:p>
        </w:tc>
      </w:tr>
      <w:tr w:rsidR="008E371C" w14:paraId="663E3BF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E4D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CCF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공정정지/조정 금지 원칙 포함 승인된 반응계획 실행</w:t>
            </w:r>
          </w:p>
        </w:tc>
      </w:tr>
      <w:tr w:rsidR="008E371C" w14:paraId="58AFEFC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096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원인제거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254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</w:tr>
      <w:tr w:rsidR="008E371C" w14:paraId="1780960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E27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B43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안정 후 능력 및 관리한계 검토</w:t>
            </w:r>
          </w:p>
        </w:tc>
      </w:tr>
    </w:tbl>
    <w:p w14:paraId="3B082AE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공정능력</w:t>
      </w:r>
    </w:p>
    <w:p w14:paraId="4363187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또는 내부 기준에 따라 Cp/</w:t>
      </w:r>
      <w:proofErr w:type="spellStart"/>
      <w:r>
        <w:rPr>
          <w:sz w:val="21"/>
          <w:lang w:eastAsia="ko-KR"/>
        </w:rPr>
        <w:t>Cpk</w:t>
      </w:r>
      <w:proofErr w:type="spellEnd"/>
      <w:r>
        <w:rPr>
          <w:sz w:val="21"/>
          <w:lang w:eastAsia="ko-KR"/>
        </w:rPr>
        <w:t xml:space="preserve"> 또는 Pp/</w:t>
      </w:r>
      <w:proofErr w:type="spellStart"/>
      <w:r>
        <w:rPr>
          <w:sz w:val="21"/>
          <w:lang w:eastAsia="ko-KR"/>
        </w:rPr>
        <w:t>Ppk</w:t>
      </w:r>
      <w:proofErr w:type="spellEnd"/>
      <w:r>
        <w:rPr>
          <w:sz w:val="21"/>
          <w:lang w:eastAsia="ko-KR"/>
        </w:rPr>
        <w:t xml:space="preserve"> 등을 평가한다. 능력 미달 시 100% 검사 등 임시보호조치와 공정개선 계획을 수립하며 고객 지정 기준이 있으면 이를 우선 적용한다.</w:t>
      </w:r>
    </w:p>
    <w:p w14:paraId="4BAE75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이상반응</w:t>
      </w:r>
    </w:p>
    <w:p w14:paraId="7EE575F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관리한계 이탈, 연속 추세, 편측 집중 등 비정상 신호 발생 시 임의로 관리한계를 변경하지 않고 공정·설비·자재·측정·작업방법의 특별원인을 조사한다.</w:t>
      </w:r>
    </w:p>
    <w:p w14:paraId="43EC6CB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기록</w:t>
      </w:r>
    </w:p>
    <w:p w14:paraId="6012667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관리도, 원시데이터, 능력분석, 이상반응 및 개선기록을 해당 제품/공정과 연결하여 보존한다.</w:t>
      </w:r>
    </w:p>
    <w:p w14:paraId="3CF2BF59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관련 기록</w:t>
      </w:r>
    </w:p>
    <w:p w14:paraId="47A38F6D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Core Tools SPC 관리도 및 공정능력 기록</w:t>
      </w:r>
    </w:p>
    <w:p w14:paraId="68C2171F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SH-FM-078 SPC 대상특성 관리대장, SH-FM-079 공정능력 분석대장, SH-FM-080 SPC 이상반응·개선보고서</w:t>
      </w:r>
    </w:p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적용범위</w:t>
      </w:r>
      <w:proofErr w:type="spellStart"/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통계적 공정관리(SPC) 절차서 업무를 수행하는 부서와 관련 기록에 적용한다.</w:t>
      </w:r>
    </w:p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책임과 권한</w:t>
      </w:r>
      <w:proofErr w:type="spellStart"/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10. 보존기간</w:t>
      </w:r>
      <w:proofErr w:type="spellStart"/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11. 문서관리 및 기록관리</w:t>
      </w:r>
      <w:proofErr w:type="spellStart"/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20"/>
      <w:footerReference w:type="default" r:id="rId2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FE53" w14:textId="77777777" w:rsidR="00063ECA" w:rsidRDefault="00063ECA">
    <w:pPr>
      <w:spacing w:after="0"/>
    </w:pPr>
    <w:r>
      <w:t>(주)신화에이치앤티  |  SH-QP-023  |  문서상태: 개정초안(미승인)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