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SH-QP-024 품질비용및지속적개선절차서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SH-QP-024 부분을 낱개 문서로 발행하기 위한 개정본이며 내용은 통합문서와 동일하다.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품질비용 분류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개선과제 선정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개선 절차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시정조치와 지속개선 구분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개선효과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78FDE7E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SH-QP-024 품질비용 및 지속적 개선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44EAE4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D1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C19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433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B7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DA32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03F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1E7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F8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994B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B1722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5B2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B449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2F6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555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30DD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479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230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98F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10.3 /</w:t>
            </w:r>
            <w:proofErr w:type="gramEnd"/>
            <w:r>
              <w:rPr>
                <w:sz w:val="18"/>
                <w:lang w:eastAsia="ko-KR"/>
              </w:rPr>
              <w:t xml:space="preserve"> IATF 지속적 개선 및 제조효율</w:t>
            </w:r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품질손실 비용과 프로세스 성과를 분석하여 개선 우선순위를 정하고 체계적인 지속적 개선활동을 수행하여 품질, 생산성 및 고객성과를 향상하는 방법을 규정한다.</w:t>
      </w:r>
    </w:p>
    <w:p w14:paraId="2122B1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품질비용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70318F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B1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79C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90A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</w:tr>
      <w:tr w:rsidR="008E371C" w14:paraId="241F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A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4CC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교육, 예방보전, 품질기획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11C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</w:p>
        </w:tc>
      </w:tr>
      <w:tr w:rsidR="008E371C" w14:paraId="1689F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30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8F4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A20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D023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6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EF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정지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C23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0BB370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C9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5CE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, 반품, 보증,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A4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7DF0C94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개선과제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</w:p>
    <w:p w14:paraId="19677C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PPM/클레임 상위 문제 주관부서는 정성품질 활동의 책임자와 부서별 </w:t>
      </w:r>
      <w:proofErr w:type="spellStart"/>
      <w:r>
        <w:rPr>
          <w:sz w:val="21"/>
          <w:lang w:eastAsia="ko-KR"/>
        </w:rPr>
        <w:t>키맨을</w:t>
      </w:r>
      <w:proofErr w:type="spellEnd"/>
      <w:r>
        <w:rPr>
          <w:sz w:val="21"/>
          <w:lang w:eastAsia="ko-KR"/>
        </w:rPr>
        <w:t xml:space="preserve"> 지정하고 예방점검, 교육, 문제개선, </w:t>
      </w:r>
      <w:proofErr w:type="spellStart"/>
      <w:r>
        <w:rPr>
          <w:sz w:val="21"/>
          <w:lang w:eastAsia="ko-KR"/>
        </w:rPr>
        <w:t>고객협업</w:t>
      </w:r>
      <w:proofErr w:type="spellEnd"/>
      <w:r>
        <w:rPr>
          <w:sz w:val="21"/>
          <w:lang w:eastAsia="ko-KR"/>
        </w:rPr>
        <w:t xml:space="preserve"> 및 성과보고 역할을 명확히 한다. 고객불만·반복불량·공정변경·작업오류 등 실제 자료로 중점관리 항목을 선정하고 선정근거·대상·담당·목표·기한을 등록한다.</w:t>
      </w:r>
    </w:p>
    <w:p w14:paraId="321263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공정불량·폐기·재작업 비용 상위</w:t>
      </w:r>
    </w:p>
    <w:p w14:paraId="0690FFD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>/생산성/OEE 취약 공정</w:t>
      </w:r>
    </w:p>
    <w:p w14:paraId="03B405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심사 부적합 및 시스템 취약점</w:t>
      </w:r>
    </w:p>
    <w:p w14:paraId="2C51ED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반복문제 및 납기손실</w:t>
      </w:r>
    </w:p>
    <w:p w14:paraId="5E210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개선제안 및 낭비요소</w:t>
      </w:r>
    </w:p>
    <w:p w14:paraId="33752F5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개선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1A6383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4FC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274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F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</w:p>
        </w:tc>
      </w:tr>
      <w:tr w:rsidR="008E371C" w14:paraId="284BAB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73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A00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9C2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</w:p>
        </w:tc>
      </w:tr>
      <w:tr w:rsidR="008E371C" w14:paraId="76E83F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345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E9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Baseline 및 정량 목표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1D4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목표값</w:t>
            </w:r>
            <w:proofErr w:type="spellEnd"/>
          </w:p>
        </w:tc>
      </w:tr>
      <w:tr w:rsidR="008E371C" w14:paraId="4AF760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24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D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낭비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28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</w:t>
            </w:r>
            <w:proofErr w:type="spellEnd"/>
          </w:p>
        </w:tc>
      </w:tr>
      <w:tr w:rsidR="008E371C" w14:paraId="4868F7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0C9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5CB5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표준화·오류방지·공정개선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4E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개선조치</w:t>
            </w:r>
            <w:proofErr w:type="spellEnd"/>
          </w:p>
        </w:tc>
      </w:tr>
      <w:tr w:rsidR="008E371C" w14:paraId="027250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C08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A5A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97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효과금액</w:t>
            </w:r>
            <w:proofErr w:type="spellEnd"/>
            <w:r>
              <w:rPr>
                <w:sz w:val="18"/>
              </w:rPr>
              <w:t>/KPI</w:t>
            </w:r>
          </w:p>
        </w:tc>
      </w:tr>
      <w:tr w:rsidR="008E371C" w14:paraId="23ADD3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912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E4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문서개정·교육·수평전개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89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유지관리</w:t>
            </w:r>
            <w:proofErr w:type="spellEnd"/>
          </w:p>
        </w:tc>
      </w:tr>
    </w:tbl>
    <w:p w14:paraId="5E914B34" w14:textId="77777777" w:rsidR="0024710A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키맨은</w:t>
      </w:r>
      <w:proofErr w:type="spellEnd"/>
      <w:r>
        <w:rPr>
          <w:sz w:val="21"/>
          <w:lang w:eastAsia="ko-KR"/>
        </w:rPr>
        <w:t xml:space="preserve"> 선정된 항목을 현장 체크시트와 작업기준에 전개하고 작업자에게 필요한 교육을 실시한다. 점검 결과 이상은 즉시 처리하되 반복 또는 중대한 사항은 SH-QP-016 시정조치와 연결한다. 실행 전후의 조건·사진·기록을 남기고 단순 활동횟수만으로 개선효과를 판단하지 않는다.</w:t>
      </w:r>
    </w:p>
    <w:p w14:paraId="06FEF6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시정조치와 지속개선 구분</w:t>
      </w:r>
    </w:p>
    <w:p w14:paraId="7E394E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부적합의 재발방지를 위한 시정조치는 SH-QP-016에 따라 수행하고, 안정된 공정의 성능을 더 높은 수준으로 향상하는 활동은 지속적 개선으로 관리한다.</w:t>
      </w:r>
    </w:p>
    <w:p w14:paraId="778B94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개선효과</w:t>
      </w:r>
    </w:p>
    <w:p w14:paraId="40D428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 전후의 불량률, 생산성, 공정능력, 시간, 비용 또는 고객성과를 비교하여 효과를 정량화하고 지속 여부를 확인한다. 주관부서는 불량·재발·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검출력</w:t>
      </w:r>
      <w:proofErr w:type="spellEnd"/>
      <w:r>
        <w:rPr>
          <w:sz w:val="21"/>
          <w:lang w:eastAsia="ko-KR"/>
        </w:rPr>
        <w:t xml:space="preserve"> 등 과제별 지표로 효과를 확인하고 필요한 표준 개정·교육·유사공정 수평전개를 실시한다. 정해진 주기에 진행상태, 지연과 미달사유, 효과 및 지원 필요사항을 보고한다. 현장 중점표시와 관리표는 같은 항목·개정을 사용한다.</w:t>
      </w:r>
    </w:p>
    <w:p w14:paraId="261C4396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25598AE4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SH-FM-096 COPQ 월간 집계표</w:t>
      </w:r>
    </w:p>
    <w:p w14:paraId="773205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SH-FM-094 지속적개선 과제관리표</w:t>
      </w:r>
    </w:p>
    <w:p w14:paraId="550BB8F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SH-FM-348 중점관리POINT 선정 운영, SH-FM-357 정성품질향상가이드, SH-FM-358 정성품질 조직도 (</w:t>
      </w:r>
      <w:proofErr w:type="spellStart"/>
      <w:r>
        <w:rPr>
          <w:sz w:val="21"/>
          <w:lang w:eastAsia="ko-KR"/>
        </w:rPr>
        <w:t xml:space="preserve">키맨선정</w:t>
      </w:r>
      <w:proofErr w:type="spellEnd"/>
      <w:r>
        <w:rPr>
          <w:sz w:val="21"/>
          <w:lang w:eastAsia="ko-KR"/>
        </w:rPr>
        <w:t xml:space="preserve">), SH-FM-359 정성품질 체크시트, SH-FM-360 정성품질 개선추진보고서, SH-FM-362 정성품질 포상실행 품의서에 작성하고 최신 승인 문서관리대장에 따라 보관한다.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품질비용 및 지속적 개선 절차서 업무를 수행하는 부서와 관련 기록에 적용한다.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20"/>
      <w:footerReference w:type="default" r:id="rId2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>(주)신화에이치앤티  |  SH-QP-024  |  문서상태: 개정초안(미승인)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