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0D5C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(주)신화에이치앤티</w:t>
      </w:r>
    </w:p>
    <w:p w14:paraId="0300D5C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SH-WI-021 공정감사및LayeredProcessAudit실행표준</w:t>
      </w:r>
    </w:p>
    <w:p w14:paraId="0300D5C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문서상태: 개정초안(미승인)</w:t>
      </w:r>
    </w:p>
    <w:p w14:paraId="0300D5C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통합문서 Rev.03(수정본12)의 SH-WI-021 부분을 낱개 문서로 발행하기 위한 개정본이며 내용은 통합문서와 동일하다.</w:t>
      </w:r>
    </w:p>
    <w:p w14:paraId="0300D5C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목차</w:t>
      </w:r>
    </w:p>
    <w:p w14:paraId="0300D5C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</w:p>
    <w:p w14:paraId="0300D5C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감사 준비</w:t>
      </w:r>
    </w:p>
    <w:p w14:paraId="0300D5C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핵심 점검항목</w:t>
      </w:r>
    </w:p>
    <w:p w14:paraId="0300D5C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계층별 감사</w:t>
      </w:r>
    </w:p>
    <w:p w14:paraId="0300D5C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5. 부적합 및 후속조치</w:t>
      </w:r>
    </w:p>
    <w:p w14:paraId="0300D5C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적용범위</w:t>
      </w:r>
    </w:p>
    <w:p w14:paraId="0300D5C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보존기간</w:t>
      </w:r>
    </w:p>
    <w:p w14:paraId="706265D8" w14:textId="77777777" w:rsidR="008E371C" w:rsidRDefault="00F7078F">
      <w:pPr>
        <w:pStyle w:val="QMSSection1"/>
        <w:keepNext/>
        <w:keepLines/>
        <w:spacing w:before="280"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SH-WI-021 </w:t>
      </w:r>
      <w:proofErr w:type="spellStart"/>
      <w:r>
        <w:rPr>
          <w:rFonts w:ascii="맑은 고딕" w:eastAsia="맑은 고딕" w:hAnsi="맑은 고딕" w:cs="맑은 고딕"/>
          <w:sz w:val="24"/>
        </w:rPr>
        <w:t>공정감사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Layered Process Audit </w:t>
      </w:r>
      <w:proofErr w:type="spellStart"/>
      <w:r>
        <w:rPr>
          <w:rFonts w:ascii="맑은 고딕" w:eastAsia="맑은 고딕" w:hAnsi="맑은 고딕" w:cs="맑은 고딕"/>
          <w:sz w:val="24"/>
        </w:rPr>
        <w:t>실행표준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32B3FF9A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E9FC7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882C5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19D2C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B8201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6DF2EA3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618A5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05175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SH-WI-021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5C493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71345F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4FC3B16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111C2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72A11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공정감사</w:t>
            </w:r>
            <w:proofErr w:type="spellEnd"/>
            <w:r>
              <w:rPr>
                <w:sz w:val="18"/>
              </w:rPr>
              <w:t xml:space="preserve"> 및 Layered Process Audit </w:t>
            </w:r>
            <w:proofErr w:type="spellStart"/>
            <w:r>
              <w:rPr>
                <w:sz w:val="18"/>
              </w:rPr>
              <w:t>실행표준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9BF3A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DE71E1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4407BC4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78E52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FAE56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3E6B2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A21B8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51835A2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CEB15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76C76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CD72A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B3F9C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SH-QP-005 / SH-QP-012</w:t>
            </w:r>
          </w:p>
        </w:tc>
      </w:tr>
      <w:tr w:rsidR="008E371C" w14:paraId="51835A2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CEB15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76C76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CD72A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B3F9C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</w:tbl>
    <w:p w14:paraId="37278AB3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1. </w:t>
      </w:r>
      <w:proofErr w:type="spellStart"/>
      <w:r>
        <w:rPr>
          <w:rFonts w:ascii="맑은 고딕" w:eastAsia="맑은 고딕" w:hAnsi="맑은 고딕" w:cs="맑은 고딕"/>
          <w:sz w:val="24"/>
        </w:rPr>
        <w:t>목적</w:t>
      </w:r>
      <w:proofErr w:type="spellEnd"/>
    </w:p>
    <w:p w14:paraId="0300D5C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제조현장의 표준 준수상태와 공정 리스크를 계층별로 반복 확인하여 이상을 조기에 발견하고 즉시 개선한다.</w:t>
      </w:r>
    </w:p>
    <w:p w14:paraId="5215606C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감사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준비</w:t>
      </w:r>
      <w:proofErr w:type="spellEnd"/>
    </w:p>
    <w:p w14:paraId="1920ED2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감사대상 공정, 품번, 교대 및 감사주기를 확인한다.</w:t>
      </w:r>
    </w:p>
    <w:p w14:paraId="1F359F9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Control Plan, WI, 공정조건, 특수특성 및 최근 품질문제를 확인한다.</w:t>
      </w:r>
    </w:p>
    <w:p w14:paraId="6738622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고객불만, 반복불량, 변경점이 있는 공정은 우선순위를 높인다.</w:t>
      </w:r>
    </w:p>
    <w:p w14:paraId="791B885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감사자는 해당 공정의 실제 작업을 관찰하고 기록과 현물을 대조한다.</w:t>
      </w:r>
    </w:p>
    <w:p w14:paraId="304AD863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핵심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점검항목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7C6539D8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5C12D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4AFFB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확인내용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41123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이상</w:t>
            </w:r>
            <w:proofErr w:type="spellEnd"/>
            <w:r>
              <w:rPr>
                <w:b/>
                <w:sz w:val="18"/>
              </w:rPr>
              <w:t xml:space="preserve"> 시</w:t>
            </w:r>
          </w:p>
        </w:tc>
      </w:tr>
      <w:tr w:rsidR="008E371C" w14:paraId="75E94AB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69208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표준작업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12E8F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작업순서·조건·검사 준수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80FFF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즉시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시정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보고</w:t>
            </w:r>
            <w:proofErr w:type="spellEnd"/>
          </w:p>
        </w:tc>
      </w:tr>
      <w:tr w:rsidR="008E371C" w14:paraId="553DCD7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E495C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특수특성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53468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기호·검사·반응계획 일치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C5118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보류</w:t>
            </w:r>
            <w:proofErr w:type="spellEnd"/>
          </w:p>
        </w:tc>
      </w:tr>
      <w:tr w:rsidR="008E371C" w14:paraId="658EAAC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FF55B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Poka-Yoke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89573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기능점검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우회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여부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E439E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정지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</w:tr>
      <w:tr w:rsidR="008E371C" w14:paraId="736FF1B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3AC6A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자재</w:t>
            </w:r>
            <w:proofErr w:type="spellEnd"/>
            <w:r>
              <w:rPr>
                <w:sz w:val="18"/>
              </w:rPr>
              <w:t>/LOT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E2A74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승인자재·FIFO·추적성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38A07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격리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</w:tr>
      <w:tr w:rsidR="008E371C" w14:paraId="6208726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99753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치공구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338AF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점검·수명·이상상태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67DFF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요청</w:t>
            </w:r>
            <w:proofErr w:type="spellEnd"/>
          </w:p>
        </w:tc>
      </w:tr>
      <w:tr w:rsidR="008E371C" w14:paraId="420567D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18D70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FE98B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식별·격리·판정상태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36591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즉시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분리</w:t>
            </w:r>
            <w:proofErr w:type="spellEnd"/>
          </w:p>
        </w:tc>
      </w:tr>
      <w:tr w:rsidR="008E371C" w14:paraId="75CD45B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6D15F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F1934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실제값</w:t>
            </w:r>
            <w:proofErr w:type="spellEnd"/>
            <w:r>
              <w:rPr>
                <w:sz w:val="18"/>
                <w:lang w:eastAsia="ko-KR"/>
              </w:rPr>
              <w:t>·시간·서명 일치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ABFB1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보완</w:t>
            </w:r>
            <w:proofErr w:type="spellEnd"/>
          </w:p>
        </w:tc>
      </w:tr>
    </w:tbl>
    <w:p w14:paraId="5EF8C144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lastRenderedPageBreak/>
        <w:t>주관부서는 회사가 사용하는 3정5행 항목의 정의를 명확히 하고 구역별 점검기준으로 전개한다. 위치·품목·수량 식별, 불필요품, 통로, 청결, 혼입·손상 방지 및 유지관리 등 실제 현장 항목과 정상상태를 사진 또는 설명으로 정한다.</w:t>
      </w:r>
    </w:p>
    <w:p w14:paraId="081B3FA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4. 계층별 감사</w:t>
      </w:r>
    </w:p>
    <w:p w14:paraId="1866678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작업반장, 부서관리자, 품질 및 경영층 등 회사가 정한 계층별 주기로 공정을 확인한다. 상위 계층 감사는 단순 중복점검이 아니라 반복문제, 미완료조치 및 시스템적 장애를 확인한다. 점검자는 정해진 주기에 현물을 확인하고 발견위치·내용·사진·책임자·조치기한을 기록한다. 제품 적합성 또는 안전에 영향을 줄 수 있는 사항은 정기 개선을 기다리지 않고 해당 회사 절차에 따라 즉시 보고·조치한다.</w:t>
      </w:r>
    </w:p>
    <w:p w14:paraId="2B9E68CE" w14:textId="77777777" w:rsidR="008E371C" w:rsidRDefault="00F7078F">
      <w:pPr>
        <w:spacing w:after="100" w:line="288" w:lineRule="auto"/>
        <w:rPr>
          <w:lang w:eastAsia="ko-KR"/>
        </w:rPr>
      </w:pPr>
      <w:r>
        <w:rPr>
          <w:lang w:eastAsia="ko-KR"/>
        </w:rPr>
        <w:t>반복 지적은 원인을 분석하여 기준·배치·작업방법을 개선한다.</w:t>
      </w:r>
    </w:p>
    <w:p w14:paraId="77277A9A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5. </w:t>
      </w:r>
      <w:proofErr w:type="spellStart"/>
      <w:r>
        <w:rPr>
          <w:rFonts w:ascii="맑은 고딕" w:eastAsia="맑은 고딕" w:hAnsi="맑은 고딕" w:cs="맑은 고딕"/>
          <w:sz w:val="24"/>
        </w:rPr>
        <w:t>부적합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후속조치</w:t>
      </w:r>
      <w:proofErr w:type="spellEnd"/>
    </w:p>
    <w:p w14:paraId="409768F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즉시 시정 가능한 사항은 현장에서 조치하고 증거를 남긴다. 개선사례 현황판에는 개선 전후 상태, 실행일, 책임자 및 효과확인 결과를 표시하고 정해진 주기에 갱신한다. 조치 담당과 별도로 지정된 확인자가 완료상태를 확인하며 다음 점검에서 유지 여부를 재확인한다.</w:t>
      </w:r>
    </w:p>
    <w:p w14:paraId="0BA3CCA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 적합성에 영향이 있으면 의심품을 식별·격리한다.</w:t>
      </w:r>
    </w:p>
    <w:p w14:paraId="25EE666D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반복 또는 중대 문제는 SH-QP-016 시정조치로 전환한다.</w:t>
      </w:r>
    </w:p>
    <w:p w14:paraId="45DC3BF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완료조치는 다음 감사에서 효과성을 재확인한다.</w:t>
      </w:r>
    </w:p>
    <w:p w14:paraId="2CF445F3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관련 기록은 SH-FM-343 3정5행점검 체크시트, SH-FM-345 3정5행개선사례 현황판에 작성하고 최신 승인 문서관리대장에 따라 보관한다.</w:t>
      </w:r>
    </w:p>
    <w:p w14:paraId="37278AB3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>6. 적용범위</w:t>
      </w:r>
      <w:proofErr w:type="spellStart"/>
      <w:proofErr w:type="spellEnd"/>
    </w:p>
    <w:p w14:paraId="0300D5C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공정감사 및 Layered Process Audit 실행표준 업무를 수행하는 부서와 관련 기록에 적용한다.</w:t>
      </w:r>
    </w:p>
    <w:p w14:paraId="37278AB3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>7. 보존기간</w:t>
      </w:r>
      <w:proofErr w:type="spellStart"/>
      <w:proofErr w:type="spellEnd"/>
    </w:p>
    <w:p w14:paraId="0300D5C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문서에서 정하는 기록의 보존기간은 5년으로 한다. 고객 또는 법규가 더 긴 기간을 요구하면 그 기간을 적용한다. 보존·보관·폐기는 SH-QP-003 기록관리 절차서에 따른다.</w:t>
      </w:r>
    </w:p>
    <w:sectPr w:rsidR="008E371C">
      <w:headerReference w:type="default" r:id="rId30"/>
      <w:footerReference w:type="default" r:id="rId31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t xml:space="preserve">(주)신화에이치앤티  |  Rev.03  |  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571D7EE6" w14:textId="77777777" w:rsidTr="00464DB2">
      <w:tc>
        <w:tcPr>
          <w:tcW w:w="2046" w:type="dxa"/>
          <w:vMerge w:val="restart"/>
        </w:tcPr>
        <w:p w14:paraId="353A1077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439E4BE" wp14:editId="6C093CBD">
                <wp:extent cx="900000" cy="666630"/>
                <wp:effectExtent l="0" t="0" r="0" b="0"/>
                <wp:docPr id="4392918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F9683F1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200" w:type="dxa"/>
        </w:tcPr>
        <w:p w14:paraId="1C507EC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1562DB0C" w14:textId="77777777" w:rsidTr="00464DB2">
      <w:tc>
        <w:tcPr>
          <w:tcW w:w="2046" w:type="dxa"/>
          <w:vMerge/>
        </w:tcPr>
        <w:p w14:paraId="219A2422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168F961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-QP-001~SH-QP-005</w:t>
          </w:r>
        </w:p>
      </w:tc>
      <w:tc>
        <w:tcPr>
          <w:tcW w:w="3200" w:type="dxa"/>
        </w:tcPr>
        <w:p w14:paraId="2333CD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0C7A0FE3" w14:textId="77777777" w:rsidR="00063ECA" w:rsidRDefault="00063ECA">
    <w:pPr>
      <w:spacing w:after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FA95110" w14:textId="77777777" w:rsidTr="00464DB2">
      <w:tc>
        <w:tcPr>
          <w:tcW w:w="2046" w:type="dxa"/>
          <w:vMerge w:val="restart"/>
        </w:tcPr>
        <w:p w14:paraId="0F7C819C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0EC9A69" wp14:editId="2FEC76D4">
                <wp:extent cx="900000" cy="666630"/>
                <wp:effectExtent l="0" t="0" r="0" b="0"/>
                <wp:docPr id="11915060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8504C8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175" w:type="dxa"/>
        </w:tcPr>
        <w:p w14:paraId="28152E9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B81D6E" w14:textId="77777777" w:rsidTr="00464DB2">
      <w:tc>
        <w:tcPr>
          <w:tcW w:w="2046" w:type="dxa"/>
          <w:vMerge/>
        </w:tcPr>
        <w:p w14:paraId="2D97B67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03FE366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-WI-001~SH-WI-005</w:t>
          </w:r>
        </w:p>
      </w:tc>
      <w:tc>
        <w:tcPr>
          <w:tcW w:w="3175" w:type="dxa"/>
        </w:tcPr>
        <w:p w14:paraId="1E0396A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44DA960" w14:textId="77777777" w:rsidR="00063ECA" w:rsidRDefault="00063ECA">
    <w:pPr>
      <w:spacing w:after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1F9CCABB" w14:textId="77777777" w:rsidTr="00857C62">
      <w:tc>
        <w:tcPr>
          <w:tcW w:w="2046" w:type="dxa"/>
          <w:vMerge w:val="restart"/>
        </w:tcPr>
        <w:p w14:paraId="251054E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01790518" wp14:editId="1AC50FEF">
                <wp:extent cx="900000" cy="666630"/>
                <wp:effectExtent l="0" t="0" r="0" b="0"/>
                <wp:docPr id="11338145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E960BF0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5D54F736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F940E4B" w14:textId="77777777" w:rsidTr="00857C62">
      <w:tc>
        <w:tcPr>
          <w:tcW w:w="2046" w:type="dxa"/>
          <w:vMerge/>
        </w:tcPr>
        <w:p w14:paraId="5D1A21E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E94719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-WI-011~SH-WI-015</w:t>
          </w:r>
        </w:p>
      </w:tc>
      <w:tc>
        <w:tcPr>
          <w:tcW w:w="3175" w:type="dxa"/>
        </w:tcPr>
        <w:p w14:paraId="2FD593C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DF51F86" w14:textId="77777777" w:rsidR="00063ECA" w:rsidRDefault="00063ECA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D1F3C" w14:textId="77777777" w:rsidR="00063ECA" w:rsidRDefault="00063ECA">
    <w:pPr>
      <w:spacing w:after="0"/>
    </w:pPr>
    <w:r>
      <w:t>(주)신화에이치앤티  |  SH-WI-021  |  문서상태: 개정초안(미승인)</w: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EFFFE44" w14:textId="77777777" w:rsidTr="00857C62">
      <w:tc>
        <w:tcPr>
          <w:tcW w:w="2046" w:type="dxa"/>
          <w:vMerge w:val="restart"/>
        </w:tcPr>
        <w:p w14:paraId="2EBDC12E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CD3F8EB" wp14:editId="0B00FEE1">
                <wp:extent cx="900000" cy="666630"/>
                <wp:effectExtent l="0" t="0" r="0" b="0"/>
                <wp:docPr id="4710652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40A8DC73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제6권</w:t>
          </w:r>
        </w:p>
      </w:tc>
      <w:tc>
        <w:tcPr>
          <w:tcW w:w="3175" w:type="dxa"/>
        </w:tcPr>
        <w:p w14:paraId="291E005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5FED0ADE" w14:textId="77777777" w:rsidTr="00857C62">
      <w:tc>
        <w:tcPr>
          <w:tcW w:w="2046" w:type="dxa"/>
          <w:vMerge/>
        </w:tcPr>
        <w:p w14:paraId="3DCA6FCA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A2F603E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-WI-026~SH-WI-030</w:t>
          </w:r>
        </w:p>
      </w:tc>
      <w:tc>
        <w:tcPr>
          <w:tcW w:w="3175" w:type="dxa"/>
        </w:tcPr>
        <w:p w14:paraId="268BE56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3C6CE0D" w14:textId="77777777" w:rsidR="00063ECA" w:rsidRDefault="00063ECA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