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SH-WI-024 공급자입고품이상및긴급대응표준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SH-WI-024 부분을 낱개 문서로 발행하기 위한 개정본이며 내용은 통합문서와 동일하다.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이상 발견 시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공급자 통보정보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선별/대체품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생산중단 위험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적용범위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보존기간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작업방법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문서관리 및 기록관리</w:t>
      </w:r>
    </w:p>
    <w:p w14:paraId="756A02B5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 xml:space="preserve">SH-WI-024 공급자 </w:t>
      </w:r>
      <w:proofErr w:type="spellStart"/>
      <w:r>
        <w:rPr>
          <w:rFonts w:ascii="맑은 고딕" w:eastAsia="맑은 고딕" w:hAnsi="맑은 고딕" w:cs="맑은 고딕"/>
          <w:sz w:val="24"/>
          <w:lang w:eastAsia="ko-KR"/>
        </w:rPr>
        <w:t>입고품</w:t>
      </w:r>
      <w:proofErr w:type="spellEnd"/>
      <w:r>
        <w:rPr>
          <w:rFonts w:ascii="맑은 고딕" w:eastAsia="맑은 고딕" w:hAnsi="맑은 고딕" w:cs="맑은 고딕"/>
          <w:sz w:val="24"/>
          <w:lang w:eastAsia="ko-KR"/>
        </w:rPr>
        <w:t xml:space="preserve"> 이상 및 긴급대응 표준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315BB872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F6C592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0680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08CECE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969F7F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605B422B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BFC54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6011DA6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SH-WI-024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3DB3AC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69C299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4D49730E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065C9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1BC995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공급자 </w:t>
            </w:r>
            <w:proofErr w:type="spellStart"/>
            <w:r>
              <w:rPr>
                <w:sz w:val="18"/>
                <w:lang w:eastAsia="ko-KR"/>
              </w:rPr>
              <w:t>입고품</w:t>
            </w:r>
            <w:proofErr w:type="spellEnd"/>
            <w:r>
              <w:rPr>
                <w:sz w:val="18"/>
                <w:lang w:eastAsia="ko-KR"/>
              </w:rPr>
              <w:t xml:space="preserve"> 이상 및 긴급대응 표준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01104B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7EF958F" w14:textId="77777777" w:rsidR="0024710A" w:rsidRDefault="00F7078F" w:rsidP="000F0660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154C1E33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CFAD5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39A07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현장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주관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CF035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CBF632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부서장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연계절차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SH-QP-011 / SH-QP-013 / SH-QP-014 / SH-QP-020</w:t>
            </w:r>
          </w:p>
        </w:tc>
      </w:tr>
      <w:tr w:rsidR="008E371C" w14:paraId="56A1A587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42F392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2AFA6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115C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3FCDC7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</w:tbl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입고 자재 또는 구매품의 이상 발견 시 사용과 혼입을 차단하고 공급자와 신속히 대응하여 생산 및 고객 공급 영향을 최소화한다.</w:t>
      </w:r>
    </w:p>
    <w:p w14:paraId="0077AA7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이상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발견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38322306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4423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EFC484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조치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6D1E5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기록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확인</w:t>
            </w:r>
            <w:proofErr w:type="spellEnd"/>
          </w:p>
        </w:tc>
      </w:tr>
      <w:tr w:rsidR="008E371C" w14:paraId="5D412F7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676617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식별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68661A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보류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라벨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부착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C5C55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품번·LOT·수량</w:t>
            </w:r>
            <w:proofErr w:type="spellEnd"/>
          </w:p>
        </w:tc>
      </w:tr>
      <w:tr w:rsidR="008E371C" w14:paraId="263D6859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6761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AD4158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승인자재와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분리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1B0C9DF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격리위치</w:t>
            </w:r>
            <w:proofErr w:type="spellEnd"/>
          </w:p>
        </w:tc>
      </w:tr>
      <w:tr w:rsidR="008E371C" w14:paraId="29A3574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CD8ED62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사용중지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917944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동일 LOT 불출/투입 중지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A0532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재고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라인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</w:tr>
      <w:tr w:rsidR="008E371C" w14:paraId="158697D5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57797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8DC633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이미 투입된 생산품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D6EE7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</w:t>
            </w:r>
            <w:proofErr w:type="spellEnd"/>
            <w:r>
              <w:rPr>
                <w:sz w:val="18"/>
              </w:rPr>
              <w:t xml:space="preserve"> LOT </w:t>
            </w:r>
            <w:proofErr w:type="spellStart"/>
            <w:r>
              <w:rPr>
                <w:sz w:val="18"/>
              </w:rPr>
              <w:t>추적</w:t>
            </w:r>
            <w:proofErr w:type="spellEnd"/>
          </w:p>
        </w:tc>
      </w:tr>
      <w:tr w:rsidR="008E371C" w14:paraId="2081FDD7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7B88F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통보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433E1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구매·품질·공급자 통보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3B276B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불량정보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사진</w:t>
            </w:r>
            <w:proofErr w:type="spellEnd"/>
          </w:p>
        </w:tc>
      </w:tr>
      <w:tr w:rsidR="008E371C" w14:paraId="3322D43F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5F3D82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대응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6B92397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선별·교환·대체납품 검토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797519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생산영향</w:t>
            </w:r>
            <w:proofErr w:type="spellEnd"/>
          </w:p>
        </w:tc>
      </w:tr>
      <w:tr w:rsidR="008E371C" w14:paraId="3FFB04F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35310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시정조치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A7BA7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반복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중대</w:t>
            </w:r>
            <w:proofErr w:type="spellEnd"/>
            <w:r>
              <w:rPr>
                <w:sz w:val="18"/>
              </w:rPr>
              <w:t xml:space="preserve"> 시 </w:t>
            </w:r>
            <w:proofErr w:type="spellStart"/>
            <w:r>
              <w:rPr>
                <w:sz w:val="18"/>
              </w:rPr>
              <w:t>공급자</w:t>
            </w:r>
            <w:proofErr w:type="spellEnd"/>
            <w:r>
              <w:rPr>
                <w:sz w:val="18"/>
              </w:rPr>
              <w:t xml:space="preserve"> 8D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EA8E23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효과성</w:t>
            </w:r>
            <w:proofErr w:type="spellEnd"/>
          </w:p>
        </w:tc>
      </w:tr>
    </w:tbl>
    <w:p w14:paraId="1BF9446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공급자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통보정보</w:t>
      </w:r>
      <w:proofErr w:type="spellEnd"/>
    </w:p>
    <w:p w14:paraId="44C2F0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품번, 품명, 공급자 LOT 및 입고일</w:t>
      </w:r>
    </w:p>
    <w:p w14:paraId="05879B40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불량현상, 규격, 측정값 또는 사진</w:t>
      </w:r>
    </w:p>
    <w:p w14:paraId="3E5B8B1D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검사수량, 불량수량 및 발견 위치</w:t>
      </w:r>
    </w:p>
    <w:p w14:paraId="58F4BF76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현재 재고와 생산/납기 영향</w:t>
      </w:r>
    </w:p>
    <w:p w14:paraId="4061E93C" w14:textId="77777777" w:rsidR="008E371C" w:rsidRDefault="00F7078F">
      <w:pPr>
        <w:pStyle w:val="a0"/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요구하는 긴급대응 및 회신기한</w:t>
      </w:r>
    </w:p>
    <w:p w14:paraId="073D74B3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4. 선별/대체품</w:t>
      </w:r>
    </w:p>
    <w:p w14:paraId="5BB29898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공급자 선별 또는 대체납품을 실시하는 경우 검사기준과 합격 식별방법을 사전에 합의한다. 대체자재 또는 사양변경은 SH-QP-015 변경관리 및 고객승인 필요성을 확인한다.</w:t>
      </w:r>
    </w:p>
    <w:p w14:paraId="6D94E771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생산중단 위험</w:t>
      </w:r>
    </w:p>
    <w:p w14:paraId="047FCD4B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자재 부족으로 고객 공급중단 위험이 예상되면 SH-QP-020 비상계획에 따라 안전재고, 대체공급, 운송 및 고객통보를 검토한다.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적용범위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공급자 입고품 이상 및 긴급대응 표준 업무를 수행하는 부서와 관련 기록에 적용한다.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보존기간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작업방법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표준의 작업방법은 '2. 이상 발견 시', '3. 공급자 통보정보', '4. 선별/대체품', '5. 생산중단 위험'에서 정한 절차에 따른다.</w:t>
      </w:r>
    </w:p>
    <w:p w14:paraId="12581B04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문서관리 및 기록관리</w:t>
      </w:r>
    </w:p>
    <w:p w14:paraId="59111C4D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LOT 추적은 SH-QP-018 에 따라 입고부터 출하까지 1시간 이내 추적을 목표로 하며, 관련 기록은 5년 보존한다.</w:t>
      </w:r>
    </w:p>
    <w:sectPr w:rsidR="008E371C">
      <w:headerReference w:type="default" r:id="rId30"/>
      <w:footerReference w:type="default" r:id="rId31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04DEDFA" w14:textId="77777777" w:rsidTr="00464DB2">
      <w:tc>
        <w:tcPr>
          <w:tcW w:w="2046" w:type="dxa"/>
          <w:vMerge w:val="restart"/>
        </w:tcPr>
        <w:p w14:paraId="6A5CB48B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E336AE3" wp14:editId="059855F8">
                <wp:extent cx="900000" cy="666630"/>
                <wp:effectExtent l="0" t="0" r="0" b="0"/>
                <wp:docPr id="131945352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1872F6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3A328C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3A6DD99" w14:textId="77777777" w:rsidTr="00464DB2">
      <w:tc>
        <w:tcPr>
          <w:tcW w:w="2046" w:type="dxa"/>
          <w:vMerge/>
        </w:tcPr>
        <w:p w14:paraId="08AF616C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B39184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-QP-011~SH-QP-015</w:t>
          </w:r>
        </w:p>
      </w:tc>
      <w:tc>
        <w:tcPr>
          <w:tcW w:w="3175" w:type="dxa"/>
        </w:tcPr>
        <w:p w14:paraId="6865C7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3900615" w14:textId="77777777" w:rsidR="00063ECA" w:rsidRDefault="00063ECA">
    <w:pPr>
      <w:spacing w:after="0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D1F3C" w14:textId="77777777" w:rsidR="00063ECA" w:rsidRDefault="00063ECA">
    <w:pPr>
      <w:spacing w:after="0"/>
    </w:pPr>
    <w:r>
      <w:t>(주)신화에이치앤티  |  SH-WI-024  |  문서상태: 개정초안(미승인)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