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1. 목적</w:t>
        <w:tab/>
        <w:t>4</w:t>
      </w:r>
    </w:p>
    <w:p w14:paraId="54E287A9" w14:textId="0B74D7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2. 적용범위</w:t>
        <w:tab/>
        <w:t>4</w:t>
      </w:r>
    </w:p>
    <w:p w14:paraId="117B5097" w14:textId="7A1875C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3. 인용표준·용어 및 문서체계</w:t>
        <w:tab/>
        <w:t>4</w:t>
      </w:r>
    </w:p>
    <w:p w14:paraId="42CF5D70" w14:textId="6CBC22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4. 조직의 상황</w:t>
        <w:tab/>
        <w:t>5</w:t>
      </w:r>
    </w:p>
    <w:p w14:paraId="28406E73" w14:textId="24E410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5. 리더십</w:t>
        <w:tab/>
        <w:t>6</w:t>
      </w:r>
    </w:p>
    <w:p w14:paraId="4ADA06AC" w14:textId="2EDDD2BE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6. 기획</w:t>
        <w:tab/>
        <w:t>10</w:t>
      </w:r>
    </w:p>
    <w:p w14:paraId="293EC69C" w14:textId="54AE343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7. 지원</w:t>
        <w:tab/>
        <w:t>11</w:t>
      </w:r>
    </w:p>
    <w:p w14:paraId="68560525" w14:textId="6A78946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8. 운용</w:t>
        <w:tab/>
        <w:t>20</w:t>
      </w:r>
    </w:p>
    <w:p w14:paraId="4710384E" w14:textId="2ABA18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9. 성과평가</w:t>
        <w:tab/>
        <w:t>26</w:t>
      </w:r>
    </w:p>
    <w:p w14:paraId="544CD656" w14:textId="05222A1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10. 개선</w:t>
        <w:tab/>
        <w:t>29</w:t>
      </w:r>
    </w:p>
    <w:p w14:paraId="22C77E75" w14:textId="5F98A5F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A. 프로세스 맵</w:t>
        <w:tab/>
        <w:t>31</w:t>
      </w:r>
    </w:p>
    <w:p w14:paraId="5A4B007B" w14:textId="4F9E149C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B. 프로세스 상호작용 및 책임 매트릭스</w:t>
        <w:tab/>
        <w:t>31</w:t>
      </w:r>
    </w:p>
    <w:p w14:paraId="0A5E4E72" w14:textId="5058AC99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C. QP/WI/FM 연계 기본표</w:t>
        <w:tab/>
        <w:t>32</w:t>
      </w:r>
    </w:p>
    <w:p w14:paraId="5EF42422" w14:textId="2FFF28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D. 지원 프로세스 KPI</w:t>
        <w:tab/>
        <w:t>32</w:t>
      </w:r>
    </w:p>
    <w:p w14:paraId="571B1972" w14:textId="2A8A488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E. 설비·측정·역량 관리 매트릭스</w:t>
        <w:tab/>
        <w:t>33</w:t>
      </w:r>
    </w:p>
    <w:p w14:paraId="45AC163C" w14:textId="70E2FA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F. 문서/기록 관리 기준</w:t>
        <w:tab/>
        <w:t>33</w:t>
      </w:r>
    </w:p>
    <w:p w14:paraId="75DDE43E" w14:textId="114541E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G. 운용 프로세스 맵</w:t>
        <w:tab/>
        <w:t>33</w:t>
      </w:r>
    </w:p>
    <w:p w14:paraId="5C8A26AB" w14:textId="276BF50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H. Core Tools 연계 매트릭스</w:t>
        <w:tab/>
        <w:t>33</w:t>
      </w:r>
    </w:p>
    <w:p w14:paraId="3AFA499C" w14:textId="1DB2544B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I. 4M 변경관리 체크포인트</w:t>
        <w:tab/>
        <w:t>34</w:t>
      </w:r>
    </w:p>
    <w:p w14:paraId="2EE6B732" w14:textId="279F169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J. 경영성과 대시보드 기본 구조</w:t>
        <w:tab/>
        <w:t>34</w:t>
      </w:r>
    </w:p>
    <w:p w14:paraId="640EC49D" w14:textId="109DF1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K. 내부심사 연간 프로그램 기준</w:t>
        <w:tab/>
        <w:t>35</w:t>
      </w:r>
    </w:p>
    <w:p w14:paraId="2599B7DE" w14:textId="37CF02B0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L. 경영검토 Action 관리표</w:t>
        <w:tab/>
        <w:t>35</w:t>
      </w:r>
    </w:p>
    <w:p w14:paraId="152F8AA8" w14:textId="6B39D51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M. 시정조치 효과성 판정 기준</w:t>
        <w:tab/>
        <w:t>35</w:t>
      </w:r>
    </w:p>
    <w:p w14:paraId="5BE6FBB0" w14:textId="5CBA54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N. 인증심사 확인 포인트</w:t>
        <w:tab/>
        <w:t>35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조직도와핵심업무_한장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조직 및 업무분장 관리</w:t>
      </w:r>
    </w:p>
    <w:p>
      <w:r>
        <w:t>본 매뉴얼 5.3의 조직도 및 담당자별 업무 페이지에 부서, 직책, 성명, 겸임 및 담당자별 핵심 업무를 직접 관리한다. 경영관리팀은 CFO 관할이며, 그 외 본부 및 선행품질팀은 대표이사 관할로 표시한다. 상세 QMS 책임·권한은 앞의 역할 표 및 관련 절차서에 따른다.</w:t>
      </w:r>
    </w:p>
    <w:p>
      <w:r>
        <w:t>인사이동, 담당 업무, 겸임, 조직구조 또는 권한 변경 시 해당 부서장이 변경내용을 확인하고 문서관리 절차에 따라 본 매뉴얼의 검토·승인·개정 및 배포를 수행한다. 변경 후 구본을 회수하고 관련자에게 변경사항을 전달한다. 조직도와 공식 역할 지정이 다르면 적용 전에 권한자의 확인을 받는다.</w:t>
      </w:r>
    </w:p>
    <w:p>
      <w:r>
        <w:t>SH-QM-001-A01은 본문으로 통합하며 별도 유효본으로 중복 관리하지 않는다. 기존 별첨은 이력참고본으로 관리한다.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기본 관리 원칙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현장 상태는 5S, 안전점검, 공정감사 및 일상관리 활동과 연계하여 유지한다.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주관부서는 생산·보관·설비점검 구역별 안전 및 작업환경 관리대상을 정하고 정·부 책임자를 지정한다.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회사의 기존 안전규정, 작업별 위험성 검토 및 해당 설비·물질의 승인자료를 적용 근거로 관리한다.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제품안전 절차 SH-QP-022와 작업자 안전관리의 책임·기록을 구분한다.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안전 및 작업환경 관리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488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관리항목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관리기준 및 확인사항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보호구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작업별 위험요인과 승인된 안전기준에 따라 필요한 보호구의 종류·성능·사용조건을 선정한다.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지급대장에는 작업자, 작업범위, 보호구, 지급·교환일과 수령확인을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작업자는 사용 전 상태를 확인하고 손상·부적합 시 담당자에게 교환을 요청한다.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선정 근거가 확인되지 않은 보호구를 일괄 지정하지 않는다.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안전수칙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구역 책임자는 실제 설비·작업방법에 맞는 안전수칙을 작성하여 필요한 위치에 게시하고 작업자가 이해하는지 확인한다.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설비 또는 작업방법 변경 시 수칙과 교육 필요성을 검토한다.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위험 발견 시 작업자의 보고방법, 작업 보류 및 재개 권한을 기존 비상·안전관리 절차와 연결하여 명시한다.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유해물질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물질별 최신 공급자 SDS와 취급기준을 확인하여 지정 보관장소, 용기 식별, 출입·재고관리, 누출 시 보고 및 조치경로를 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물질 간 혼재 가능 여부와 보관조건은 해당 물질의 확인된 자료에 따른다.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보관위치와 실제 물질 목록을 일치시키고 원본 SDS를 작업자가 확인할 수 있게 관리한다.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설비·소화시설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구역별 설비 및 소화시설의 관리책임자와 대체자를 식별한다.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시설별 승인된 점검항목·주기·이상처리 기준에 따라 점검하고 시설번호, 위치, 일자, 결과, 조치 및 확인자를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사용 불가 또는 이상 시설은 상태를 표시하고 회사의 비상대응 절차에 따라 필요한 대체조치를 수행한다.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교육·후속관리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신규 배치 및 작업·물질·설비 변경 시 필요한 교육을 실시하고 참석·내용·이해도 확인을 기록한다.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점검결과 미조치 사항은 책임자와 기한을 지정하여 추적하고 조치 후 재확인한다.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본 기준의 법적 적합성과 구체적 기술조건은 회사 안전관리 책임자가 실제 적용 요구와 대조하여 검토한다.</w:t>
            </w:r>
          </w:p>
        </w:tc>
      </w:tr>
    </w:tbl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조도 관리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488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관리항목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관리기준 및 확인사항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기준 설정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주관부서는 생산·검사·취급 등 작업구역별로 필요한 조도 관리대상을 선정하고 적용 기준값·단위와 출처를 명시한다.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기준은 고객요구, 작업특성 및 회사에서 확인한 적용 요구사항에 따라 설정하고 품질·안전 담당의 검토를 거친다.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근거 없는 공통 수치를 모든 작업장에 적용하지 않는다.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측정점·조건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실제 작업 또는 판정이 이루어지는 위치를 기준으로 측정점 번호, 위치도, 작업면과 측정조건을 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현장 표시는 위치도와 일치시킨다.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 시 조명 가동상태, 자연광·차광 조건, 측정시간 등 비교에 필요한 조건을 기록한다.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측정·기록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측정자는 유효상태와 사용방법을 확인한 조도계를 사용하여 승인된 방법과 주기에 따라 실제값을 측정한다.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작업위치·조명 변경, 조명 고장 또는 시인성 문제 발생 시 추가 확인 필요성을 검토한다.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측정기 번호, 측정점, 기준, 실측값, 조건, 일자와 측정자를 기록한다.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실적·이력관리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</w:r>
            <w:r>
              <w:rPr>
                <w:rFonts w:ascii="맑은 고딕" w:hAnsi="맑은 고딕" w:eastAsia="맑은 고딕"/>
                <w:b w:val="0"/>
                <w:sz w:val="21"/>
              </w:rPr>
              <w:t>관리자는 측정계획과 실적을 비교하여 미실시·미조치 사항을 추적한다.</w:t>
            </w:r>
          </w:p>
          <w:p>
            <w:pPr>
              <w:spacing w:after="80" w:before="60" w:line="259" w:lineRule="auto"/>
            </w:pPr>
            <w:r>
              <w:rPr>
                <w:rFonts w:ascii="맑은 고딕" w:hAnsi="맑은 고딕" w:eastAsia="맑은 고딕"/>
                <w:b w:val="0"/>
                <w:sz w:val="21"/>
              </w:rPr>
              <w:t>측정점 변경, 기준 변경 및 개선 전후 결과를 보존하고 반복 미달 구역의 유지관리 방안을 검토한다.</w:t>
            </w:r>
          </w:p>
        </w:tc>
      </w:tr>
    </w:tbl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이상 발생 시 조치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작업환경 이상이 제품 적합성에 영향을 미칠 가능성이 있는 경우 생산중지, 격리, 조건복구 및 영향제품 확인을 수행한다.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기준 미달 시 원인을 확인하고 해당 작업·검사의 품질 및 안전 영향을 평가한다.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필요한 작업 보류 또는 승인된 대체조명·대체작업장 등 조치를 결정한다.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조명 교체·배치 개선 후 같은 기준으로 재측정하여 적합성을 확인하고 지정 권한자의 확인 후 정상 운영한다.</w:t>
      </w:r>
    </w:p>
    <w:p>
      <w:pPr>
        <w:keepNext/>
        <w:spacing w:after="100"/>
      </w:pPr>
      <w:r>
        <w:rPr>
          <w:rFonts w:ascii="맑은 고딕" w:hAnsi="맑은 고딕" w:eastAsia="맑은 고딕"/>
          <w:b/>
          <w:sz w:val="22"/>
        </w:rPr>
        <w:t>관련 기록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관련 기록은 SH-FM-288 안전보호구 지급기준, SH-FM-289 안전보호구 지급관리대장, SH-FM-293 유해물질보관장 선정, SH-FM-296 설비안전관리책임자선정및 정,부 식별현황, SH-FM-298 소화기점검식별표에 작성하고 최신 승인 문서관리대장에 따라 보관한다.</w:t>
      </w:r>
    </w:p>
    <w:p>
      <w:pPr>
        <w:keepNext w:val="0"/>
        <w:spacing w:after="100"/>
      </w:pPr>
      <w:r>
        <w:rPr>
          <w:rFonts w:ascii="맑은 고딕" w:hAnsi="맑은 고딕" w:eastAsia="맑은 고딕"/>
          <w:b w:val="0"/>
          <w:sz w:val="22"/>
        </w:rPr>
        <w:t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(주)신화에이치앤티  |  Rev.03  |  1 / 149</w:t>
    </w:r>
    <w:proofErr w:type="spellStart"/>
    <w:proofErr w:type="gramStart"/>
    <w:r>
      <w:rPr>
        <w:sz w:val="13"/>
        <w:lang w:eastAsia="ko-KR"/>
        <w:szCs w:val="13"/>
      </w:rPr>
    </w:r>
    <w:proofErr w:type="spellEnd"/>
    <w:r>
      <w:rPr>
        <w:sz w:val="13"/>
        <w:lang w:eastAsia="ko-KR"/>
        <w:szCs w:val="13"/>
      </w:rPr>
    </w:r>
    <w:proofErr w:type="gramEnd"/>
    <w:r>
      <w:rPr>
        <w:sz w:val="13"/>
        <w:lang w:eastAsia="ko-KR"/>
        <w:szCs w:val="13"/>
      </w:rPr>
    </w:r>
    <w:proofErr w:type="gramStart"/>
    <w:r>
      <w:rPr>
        <w:sz w:val="13"/>
        <w:lang w:eastAsia="ko-KR"/>
        <w:szCs w:val="13"/>
      </w:rPr>
    </w:r>
    <w:proofErr w:type="gramEnd"/>
    <w:r>
      <w:rPr>
        <w:sz w:val="13"/>
        <w:lang w:eastAsia="ko-KR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lang w:eastAsia="ko-KR"/>
        <w:sz w:val="13"/>
        <w:szCs w:val="13"/>
      </w:rPr>
    </w:r>
    <w:r>
      <w:rPr>
        <w:sz w:val="13"/>
        <w:szCs w:val="13"/>
      </w:rPr>
    </w:r>
    <w:r>
      <w:rPr>
        <w:sz w:val="13"/>
      </w:rPr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3"/>
        <w:lang w:eastAsia="ko-KR"/>
        <w:szCs w:val="13"/>
      </w:rPr>
      <w:t>QMS 통합문서  |  (주)신화에이치앤티  |  Rev.03  |  승인완료  |  Page 1 / 149</w:t>
    </w:r>
    <w:proofErr w:type="gramStart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spellStart"/>
    <w:proofErr w:type="gramStart"/>
    <w:r>
      <w:rPr>
        <w:color w:val="555555"/>
        <w:sz w:val="13"/>
        <w:lang w:eastAsia="ko-KR"/>
        <w:szCs w:val="13"/>
      </w:rPr>
    </w:r>
    <w:proofErr w:type="spellEnd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gramStart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proofErr w:type="spellStart"/>
    <w:proofErr w:type="gramStart"/>
    <w:r>
      <w:rPr>
        <w:color w:val="555555"/>
        <w:sz w:val="13"/>
        <w:lang w:eastAsia="ko-KR"/>
        <w:szCs w:val="13"/>
      </w:rPr>
    </w:r>
    <w:proofErr w:type="spellEnd"/>
    <w:r>
      <w:rPr>
        <w:color w:val="555555"/>
        <w:sz w:val="13"/>
        <w:lang w:eastAsia="ko-KR"/>
        <w:szCs w:val="13"/>
      </w:rPr>
    </w:r>
    <w:proofErr w:type="gramEnd"/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 w:rsidR="00DF4EC7">
      <w:rPr>
        <w:noProof/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 w:rsidR="00DF4EC7">
      <w:rPr>
        <w:noProof/>
        <w:color w:val="555555"/>
        <w:sz w:val="13"/>
        <w:lang w:eastAsia="ko-KR"/>
        <w:szCs w:val="13"/>
      </w:rPr>
    </w:r>
    <w:r>
      <w:rPr>
        <w:color w:val="555555"/>
        <w:sz w:val="13"/>
        <w:szCs w:val="13"/>
      </w:rPr>
    </w:r>
    <w:r>
      <w:rPr>
        <w:sz w:val="13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3"/>
        <w:lang w:eastAsia="ko-KR"/>
        <w:szCs w:val="13"/>
      </w:rPr>
      <w:t>(주)</w:t>
    </w:r>
    <w:proofErr w:type="spellStart"/>
    <w:proofErr w:type="gramStart"/>
    <w:r>
      <w:rPr>
        <w:sz w:val="13"/>
        <w:lang w:eastAsia="ko-KR"/>
        <w:szCs w:val="13"/>
      </w:rPr>
      <w:t>신화에이치앤티</w:t>
    </w:r>
    <w:proofErr w:type="spellEnd"/>
    <w:r>
      <w:rPr>
        <w:sz w:val="13"/>
        <w:lang w:eastAsia="ko-KR"/>
        <w:szCs w:val="13"/>
      </w:rPr>
      <w:t xml:space="preserve">  |</w:t>
    </w:r>
    <w:proofErr w:type="gramEnd"/>
    <w:r>
      <w:rPr>
        <w:sz w:val="13"/>
        <w:lang w:eastAsia="ko-KR"/>
        <w:szCs w:val="13"/>
      </w:rPr>
      <w:t xml:space="preserve">  Rev.</w:t>
    </w:r>
    <w:proofErr w:type="gramStart"/>
    <w:r>
      <w:rPr>
        <w:sz w:val="13"/>
        <w:lang w:eastAsia="ko-KR"/>
        <w:szCs w:val="13"/>
      </w:rPr>
      <w:t>03  |</w:t>
    </w:r>
    <w:proofErr w:type="gramEnd"/>
    <w:r>
      <w:rPr>
        <w:sz w:val="13"/>
        <w:lang w:eastAsia="ko-KR"/>
        <w:szCs w:val="13"/>
      </w:rPr>
      <w:t xml:space="preserve"> 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</w:t>
    </w:r>
    <w:r>
      <w:rPr>
        <w:sz w:val="13"/>
        <w:szCs w:val="13"/>
      </w:rPr>
      <w:fldChar w:fldCharType="end"/>
    </w:r>
    <w:r>
      <w:rPr>
        <w:lang w:eastAsia="ko-KR"/>
        <w:sz w:val="13"/>
        <w:szCs w:val="13"/>
      </w:rPr>
      <w:t xml:space="preserve"> / </w:t>
    </w:r>
    <w:r>
      <w:rPr>
        <w:sz w:val="13"/>
        <w:szCs w:val="13"/>
      </w:rPr>
      <w:fldChar w:fldCharType="begin"/>
    </w:r>
    <w:r>
      <w:rPr>
        <w:lang w:eastAsia="ko-KR"/>
        <w:sz w:val="13"/>
        <w:szCs w:val="13"/>
      </w:rPr>
      <w:instrText>NUMPAGES</w:instrText>
    </w:r>
    <w:r>
      <w:rPr>
        <w:sz w:val="13"/>
        <w:szCs w:val="13"/>
      </w:rPr>
      <w:fldChar w:fldCharType="separate"/>
    </w:r>
    <w:r>
      <w:rPr>
        <w:lang w:eastAsia="ko-KR"/>
        <w:sz w:val="13"/>
        <w:szCs w:val="13"/>
      </w:rPr>
      <w:t>149</w:t>
    </w:r>
    <w:r>
      <w:rPr>
        <w:sz w:val="13"/>
        <w:szCs w:val="13"/>
      </w:rPr>
      <w:fldChar w:fldCharType="end"/>
    </w:r>
    <w:r>
      <w:rPr>
        <w:sz w:val="13"/>
      </w:rPr>
      <w:t xml:space="preserve"> | 승인: 대표이사 | 승인·배포일: 2026-10-14 | 배포: 전 부서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승인완료</w:t>
          </w:r>
          <w:proofErr w:type="gramEnd"/>
          <w:r>
            <w:rPr>
              <w:b/>
              <w:lang w:eastAsia="ko-KR"/>
            </w:rPr>
            <w:t xml:space="preserve"/>
          </w:r>
          <w:proofErr w:type="spellStart"/>
          <w:r>
            <w:rPr>
              <w:b/>
              <w:lang w:eastAsia="ko-KR"/>
            </w:rPr>
            <w:t/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개정초안(미승인) 2026-10-14 인쇄패키지 변경분 반영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