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(주)신화에이치앤티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SH-QP-011 구매및협력사관리절차서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문서상태: 개정초안(미승인)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본 문서는 통합문서 Rev.03(수정본12)의 SH-QP-011 부분을 낱개 문서로 발행하기 위한 개정본이며 내용은 통합문서와 동일하다.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목차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1. 목적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2. 적용범위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3. 공급자 선정 및 승인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4. 구매정보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5. 공급자 성과 모니터링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6. 공급자 개발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7. 공급자 변경 및 비상관리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8. 책임과 권한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9. 보존기간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10. 문서관리 및 기록관리</w:t>
      </w:r>
      <w:proofErr w:type="spellEnd"/>
    </w:p>
    <w:p w14:paraId="28EAF5B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SH-QP-011 구매 및 협력사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C5BD70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0E7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7AC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3338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45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6A18E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548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D083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4F1A9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972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F369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26F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C238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 및 협력사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B6A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C166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7B3D5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67F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835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739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07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8C7E0F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F4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A4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CD2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1251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8.4 /</w:t>
            </w:r>
            <w:proofErr w:type="gramEnd"/>
            <w:r>
              <w:rPr>
                <w:sz w:val="18"/>
                <w:lang w:eastAsia="ko-KR"/>
              </w:rPr>
              <w:t xml:space="preserve"> IATF 외부제공 프로세스 및 공급자 개발</w:t>
            </w:r>
          </w:p>
        </w:tc>
      </w:tr>
      <w:tr w:rsidR="008E371C" w14:paraId="58C7E0F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F4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A4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CD2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1251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고객과 회사 요구사항을 안정적으로 충족하도록 공급자를 선정, 승인, 모니터링, 재평가 및 개발하는 방법을 규정한다.</w:t>
      </w:r>
    </w:p>
    <w:p w14:paraId="510139A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370D590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부품, 외주가공, 열처리/표면처리 등 외부공정, 교정·시험 및 제품 품질에 영향을 주는 외부서비스 공급자에 적용한다.</w:t>
      </w:r>
    </w:p>
    <w:p w14:paraId="161DB64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선정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4B9ECD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61C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3E3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BC1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16B9F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08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후보발굴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672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기술, 품질, 납기, 가격, Capacity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1514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후보목록</w:t>
            </w:r>
            <w:proofErr w:type="spellEnd"/>
          </w:p>
        </w:tc>
      </w:tr>
      <w:tr w:rsidR="008E371C" w14:paraId="4A61B7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26F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사전평가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3BD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인증, 공정능력, 재무/</w:t>
            </w:r>
            <w:proofErr w:type="spellStart"/>
            <w:r>
              <w:rPr>
                <w:sz w:val="18"/>
                <w:lang w:eastAsia="ko-KR"/>
              </w:rPr>
              <w:t>공급리스크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BE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신규업체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59DA7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7B00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F6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시제품, 검사, 필요 시 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1AE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653A9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C97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F807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승인조건 및 공급범위 확정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14C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20E934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23A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B7C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대응, 시스템 성과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506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개선계획</w:t>
            </w:r>
            <w:proofErr w:type="spellEnd"/>
          </w:p>
        </w:tc>
      </w:tr>
    </w:tbl>
    <w:p w14:paraId="2DA105A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구매정보</w:t>
      </w:r>
      <w:proofErr w:type="spellEnd"/>
    </w:p>
    <w:p w14:paraId="1562941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도면·사양·재질 및 적용 개정상태</w:t>
      </w:r>
    </w:p>
    <w:p w14:paraId="01D6ECB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검사·시험 요구</w:t>
      </w:r>
    </w:p>
    <w:p w14:paraId="2D4456E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또는 변경승인 요구</w:t>
      </w:r>
    </w:p>
    <w:p w14:paraId="31C72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추적성·포장·라벨·보존 요구</w:t>
      </w:r>
    </w:p>
    <w:p w14:paraId="3FA7FED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무단 변경 금지 및 사전통보 요구</w:t>
      </w:r>
    </w:p>
    <w:p w14:paraId="2AE7846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고객/법규 요구사항의 필요한 하위 전개</w:t>
      </w:r>
    </w:p>
    <w:p w14:paraId="0ECFFD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성과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모니터링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FDB4B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43928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996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F86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47E603A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F4A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7305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634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</w:tr>
      <w:tr w:rsidR="008E371C" w14:paraId="146ABA5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5FC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A38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납기준수, 생산중단, 긴급운송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502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납기개선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  <w:tr w:rsidR="008E371C" w14:paraId="0A22EE0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7BEE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1F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01F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개발계획</w:t>
            </w:r>
            <w:proofErr w:type="spellEnd"/>
          </w:p>
        </w:tc>
      </w:tr>
      <w:tr w:rsidR="008E371C" w14:paraId="1858195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2C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3CB6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적기성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F7A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상향관리</w:t>
            </w:r>
            <w:proofErr w:type="spellEnd"/>
          </w:p>
        </w:tc>
      </w:tr>
      <w:tr w:rsidR="008E371C" w14:paraId="425C4C4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0A8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594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E8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거래제한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재승인</w:t>
            </w:r>
            <w:proofErr w:type="spellEnd"/>
          </w:p>
        </w:tc>
      </w:tr>
    </w:tbl>
    <w:p w14:paraId="69E7F83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개발</w:t>
      </w:r>
      <w:proofErr w:type="spellEnd"/>
    </w:p>
    <w:p w14:paraId="032B4D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성과 및 리스크에 따라 QMS 개발, 공정심사, 품질개선, MSA/SPC/Core Tools 지도 등을 차등 적용한다. 고객 지정 공급자도 제품 적합성에 대한 회사 책임에서 제외되지 않는다.</w:t>
      </w:r>
    </w:p>
    <w:p w14:paraId="2F41303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공급자 변경 및 비상관리</w:t>
      </w:r>
    </w:p>
    <w:p w14:paraId="72E4162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공급자, 생산장소, 원자재 또는 외주공정 변경은 SH-QP-015 변경관리 절차와 연계하며 고객 승인/PPAP 필요성을 확인한다. 공급중단 위험은 SH-QP-004 리스크·비상계획에 반영한다.</w:t>
      </w:r>
    </w:p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  <w:proofErr w:type="spellEnd"/>
    </w:p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End"/>
    </w:p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관련 기록은 SH-QP-002 문서화된 정보 관리 절차서와 SH-QP-003 기록관리 절차서에 따라 관리한다.</w:t>
      </w:r>
      <w:proofErr w:type="spellEnd"/>
    </w:p>
    <w:sectPr w:rsidR="008E371C">
      <w:headerReference w:type="default" r:id="rId16"/>
      <w:footerReference w:type="default" r:id="rId1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615" w14:textId="77777777" w:rsidR="00063ECA" w:rsidRDefault="00063ECA">
    <w:pPr>
      <w:spacing w:after="0"/>
    </w:pPr>
    <w:r>
      <w:t>(주)신화에이치앤티  |  SH-QP-011  |  문서상태: 개정초안(미승인)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