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5CA0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(주)신화에이치앤티</w:t>
      </w:r>
    </w:p>
    <w:p w14:paraId="7845CA0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SH-WI-004 설비일상점검및이상대응표준</w:t>
      </w:r>
    </w:p>
    <w:p w14:paraId="7845CA0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문서상태: 개정초안(미승인)</w:t>
      </w:r>
    </w:p>
    <w:p w14:paraId="7845CA0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통합문서 Rev.03(수정본12)의 SH-WI-004 부분을 낱개 문서로 발행하기 위한 개정본이며 내용은 통합문서와 동일하다.</w:t>
      </w:r>
    </w:p>
    <w:p w14:paraId="7845CA0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목차</w:t>
      </w:r>
    </w:p>
    <w:p w14:paraId="7845CA0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1. 목적</w:t>
      </w:r>
    </w:p>
    <w:p w14:paraId="7845CA0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2. 작업 전 일상점검</w:t>
      </w:r>
    </w:p>
    <w:p w14:paraId="7845CA0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3. 이상 발견 시</w:t>
      </w:r>
    </w:p>
    <w:p w14:paraId="7845CA0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4. 복구 후 재가동</w:t>
      </w:r>
    </w:p>
    <w:p w14:paraId="7845CA0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5. 비상상황</w:t>
      </w:r>
    </w:p>
    <w:p w14:paraId="7845CA0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6. 적용범위</w:t>
      </w:r>
    </w:p>
    <w:p w14:paraId="7845CA0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7. 보존기간</w:t>
      </w:r>
    </w:p>
    <w:p w14:paraId="7845CA0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8. 작업방법</w:t>
      </w:r>
    </w:p>
    <w:p w14:paraId="1FF82724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SH-WI-004 설비 일상점검 및 이상대응 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22115F4A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E024E0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78DE2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CEF560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4C559C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2923739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815E5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0E16B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SH-WI-004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8B1B4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7A2BC6D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260A0AA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1576F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80B94A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설비 일상점검 및 이상대응 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F513F7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FDCF63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483A175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4805C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812A45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36AF6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F33B6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545FCD7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9D237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658C8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CDE9A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89326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SH-QP-007 / SH-QP-012 / SH-QP-020</w:t>
            </w:r>
          </w:p>
        </w:tc>
      </w:tr>
      <w:tr w:rsidR="008E371C" w14:paraId="545FCD78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79D237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2658C8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2026-09-01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CDE9A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289326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</w:tbl>
    <w:p w14:paraId="7A5A60F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7845CA0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생산설비의 작업 전 상태와 핵심 기능을 확인하고 설비 이상 시 안전과 제품품질을 우선하여 정지·격리·복구검증을 수행한다.</w:t>
      </w:r>
    </w:p>
    <w:p w14:paraId="28654019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lastRenderedPageBreak/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작업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전 </w:t>
      </w:r>
      <w:proofErr w:type="spellStart"/>
      <w:r>
        <w:rPr>
          <w:rFonts w:ascii="맑은 고딕" w:eastAsia="맑은 고딕" w:hAnsi="맑은 고딕" w:cs="맑은 고딕"/>
          <w:sz w:val="24"/>
        </w:rPr>
        <w:t>일상점검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7CFC6ECE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F58BDC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점검구분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A76163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확인</w:t>
            </w:r>
            <w:proofErr w:type="spellEnd"/>
            <w:r>
              <w:rPr>
                <w:b/>
                <w:sz w:val="18"/>
              </w:rPr>
              <w:t xml:space="preserve"> 예</w:t>
            </w:r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3F5DC0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판정</w:t>
            </w:r>
            <w:proofErr w:type="spellEnd"/>
          </w:p>
        </w:tc>
      </w:tr>
      <w:tr w:rsidR="008E371C" w14:paraId="5349905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33CFC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안전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DB77B7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가드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비상정지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센서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3071F5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정상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이상</w:t>
            </w:r>
            <w:proofErr w:type="spellEnd"/>
          </w:p>
        </w:tc>
      </w:tr>
      <w:tr w:rsidR="008E371C" w14:paraId="502077A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834182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설비상태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18E636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소음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진동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누유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파손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8785B0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정상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이상</w:t>
            </w:r>
            <w:proofErr w:type="spellEnd"/>
          </w:p>
        </w:tc>
      </w:tr>
      <w:tr w:rsidR="008E371C" w14:paraId="6CE52511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9BC6F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공정조건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2BF40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압력, 온도, 속도 등 </w:t>
            </w:r>
            <w:proofErr w:type="spellStart"/>
            <w:r>
              <w:rPr>
                <w:sz w:val="18"/>
                <w:lang w:eastAsia="ko-KR"/>
              </w:rPr>
              <w:t>승인값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03C85C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기준</w:t>
            </w:r>
            <w:proofErr w:type="spellEnd"/>
            <w:r>
              <w:rPr>
                <w:sz w:val="18"/>
              </w:rPr>
              <w:t xml:space="preserve"> 내/</w:t>
            </w:r>
            <w:proofErr w:type="spellStart"/>
            <w:r>
              <w:rPr>
                <w:sz w:val="18"/>
              </w:rPr>
              <w:t>이탈</w:t>
            </w:r>
            <w:proofErr w:type="spellEnd"/>
          </w:p>
        </w:tc>
      </w:tr>
      <w:tr w:rsidR="008E371C" w14:paraId="4986770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CBEE1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치공구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379DE5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고정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마모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손상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품번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554993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정상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이상</w:t>
            </w:r>
            <w:proofErr w:type="spellEnd"/>
          </w:p>
        </w:tc>
      </w:tr>
      <w:tr w:rsidR="008E371C" w14:paraId="76402967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90E2E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오류방지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F5D2A2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센서/</w:t>
            </w:r>
            <w:proofErr w:type="spellStart"/>
            <w:r>
              <w:rPr>
                <w:sz w:val="18"/>
                <w:lang w:eastAsia="ko-KR"/>
              </w:rPr>
              <w:t>인터록</w:t>
            </w:r>
            <w:proofErr w:type="spellEnd"/>
            <w:r>
              <w:rPr>
                <w:sz w:val="18"/>
                <w:lang w:eastAsia="ko-KR"/>
              </w:rPr>
              <w:t>/</w:t>
            </w:r>
            <w:proofErr w:type="spellStart"/>
            <w:r>
              <w:rPr>
                <w:sz w:val="18"/>
                <w:lang w:eastAsia="ko-KR"/>
              </w:rPr>
              <w:t>포카요케</w:t>
            </w:r>
            <w:proofErr w:type="spellEnd"/>
            <w:r>
              <w:rPr>
                <w:sz w:val="18"/>
                <w:lang w:eastAsia="ko-KR"/>
              </w:rPr>
              <w:t xml:space="preserve"> 기능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26240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정상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이상</w:t>
            </w:r>
            <w:proofErr w:type="spellEnd"/>
          </w:p>
        </w:tc>
      </w:tr>
      <w:tr w:rsidR="008E371C" w14:paraId="3BF2D906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815C1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5S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BB79C9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이물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잔품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청소상태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DFE9DA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적합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부적합</w:t>
            </w:r>
            <w:proofErr w:type="spellEnd"/>
          </w:p>
        </w:tc>
      </w:tr>
    </w:tbl>
    <w:p w14:paraId="6E7C8E59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이상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발견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시</w:t>
      </w:r>
    </w:p>
    <w:p w14:paraId="3B6DDE0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안전 또는 품질 영향 우려 시 즉시 설비 정지</w:t>
      </w:r>
    </w:p>
    <w:p w14:paraId="00EA6E9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이상 발생 시점과 마지막 정상 생산시점 확인</w:t>
      </w:r>
    </w:p>
    <w:p w14:paraId="3CA20A8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영향 가능 제품을 이동 금지하고 식별·격리</w:t>
      </w:r>
    </w:p>
    <w:p w14:paraId="2F7A84D5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설비 담당자 및 생산/품질 관리자에게 보고</w:t>
      </w:r>
    </w:p>
    <w:p w14:paraId="0A46AFA1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권한 없는 작업자의 임의 수리·조건변경 금지</w:t>
      </w:r>
    </w:p>
    <w:p w14:paraId="54CC7B91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복구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후 </w:t>
      </w:r>
      <w:proofErr w:type="spellStart"/>
      <w:r>
        <w:rPr>
          <w:rFonts w:ascii="맑은 고딕" w:eastAsia="맑은 고딕" w:hAnsi="맑은 고딕" w:cs="맑은 고딕"/>
          <w:sz w:val="24"/>
        </w:rPr>
        <w:t>재가동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2B2B5E30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AD5FD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확인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427FB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7F559ABB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C919E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수리확인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F36AD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이상원인과 수리내용 확인</w:t>
            </w:r>
          </w:p>
        </w:tc>
      </w:tr>
      <w:tr w:rsidR="008E371C" w14:paraId="53B876B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21DEAC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조건복구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C57F7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승인된 공정조건으로 설정</w:t>
            </w:r>
          </w:p>
        </w:tc>
      </w:tr>
      <w:tr w:rsidR="008E371C" w14:paraId="5FA4B36E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AE121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기능검증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EF888CB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안전/오류방지 기능 확인</w:t>
            </w:r>
          </w:p>
        </w:tc>
      </w:tr>
      <w:tr w:rsidR="008E371C" w14:paraId="77E43F58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845B1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초품검사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A6D91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SH-WI-001에 따라 </w:t>
            </w:r>
            <w:proofErr w:type="spellStart"/>
            <w:r>
              <w:rPr>
                <w:sz w:val="18"/>
                <w:lang w:eastAsia="ko-KR"/>
              </w:rPr>
              <w:t>초품</w:t>
            </w:r>
            <w:proofErr w:type="spellEnd"/>
            <w:r>
              <w:rPr>
                <w:sz w:val="18"/>
                <w:lang w:eastAsia="ko-KR"/>
              </w:rPr>
              <w:t xml:space="preserve"> 승인</w:t>
            </w:r>
          </w:p>
        </w:tc>
      </w:tr>
      <w:tr w:rsidR="008E371C" w14:paraId="073547D1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5EFEF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영향품평가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6733A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이상 전후 </w:t>
            </w:r>
            <w:proofErr w:type="spellStart"/>
            <w:r>
              <w:rPr>
                <w:sz w:val="18"/>
                <w:lang w:eastAsia="ko-KR"/>
              </w:rPr>
              <w:t>의심품</w:t>
            </w:r>
            <w:proofErr w:type="spellEnd"/>
            <w:r>
              <w:rPr>
                <w:sz w:val="18"/>
                <w:lang w:eastAsia="ko-KR"/>
              </w:rPr>
              <w:t xml:space="preserve"> 재검사/판정</w:t>
            </w:r>
          </w:p>
        </w:tc>
      </w:tr>
      <w:tr w:rsidR="008E371C" w14:paraId="28234B5F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10CE9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9D2D431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고장이력 및 점검기록 작성</w:t>
            </w:r>
          </w:p>
        </w:tc>
      </w:tr>
    </w:tbl>
    <w:p w14:paraId="6D0F40D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비상상황</w:t>
      </w:r>
    </w:p>
    <w:p w14:paraId="7D3692C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장시간 복구 불가 또는 고객 공급 영향이 예상되면 SH-QP-020 비상계획에 따라 대체설비, 외주, 재고, 고객통보 등의 대응을 검토한다.</w:t>
      </w:r>
    </w:p>
    <w:p w14:paraId="7A5A60F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적용범위</w:t>
      </w:r>
    </w:p>
    <w:p w14:paraId="7845CA0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설비 일상점검 및 이상대응 표준 업무를 수행하는 부서와 관련 기록에 적용한다.</w:t>
      </w:r>
    </w:p>
    <w:p w14:paraId="7A5A60F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 보존기간</w:t>
      </w:r>
    </w:p>
    <w:p w14:paraId="7845CA0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문서에서 정하는 기록의 보존기간은 5년으로 한다. 고객 또는 법규가 더 긴 기간을 요구하면 그 기간을 적용한다. 보존·보관·폐기는 SH-QP-003 기록관리 절차서에 따른다.</w:t>
      </w:r>
    </w:p>
    <w:p w14:paraId="7A5A60F0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 작업방법</w:t>
      </w:r>
    </w:p>
    <w:p w14:paraId="7845CA0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표준의 작업방법은 '2. 작업 전 일상점검', '3. 이상 발견 시', '4. 복구 후 재가동', '5. 비상상황'에서 정한 절차에 따른다.</w:t>
      </w:r>
    </w:p>
    <w:sectPr w:rsidR="008E371C">
      <w:headerReference w:type="default" r:id="rId22"/>
      <w:footerReference w:type="default" r:id="rId23"/>
      <w:pgSz w:w="11906" w:h="16838"/>
      <w:pgMar w:top="1928" w:right="1020" w:bottom="964" w:left="1020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FF284" w14:textId="77777777" w:rsidR="00EA3F5E" w:rsidRDefault="00EA3F5E">
      <w:pPr>
        <w:spacing w:after="0" w:line="240" w:lineRule="auto"/>
      </w:pPr>
      <w:r>
        <w:separator/>
      </w:r>
    </w:p>
  </w:endnote>
  <w:endnote w:type="continuationSeparator" w:id="0">
    <w:p w14:paraId="5758B432" w14:textId="77777777" w:rsidR="00EA3F5E" w:rsidRDefault="00EA3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5A632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DF7FA" w14:textId="77777777" w:rsidR="008E371C" w:rsidRDefault="00F7078F">
    <w:pPr>
      <w:pBdr>
        <w:top w:val="single" w:sz="4" w:space="4" w:color="B7B7B7"/>
      </w:pBdr>
      <w:spacing w:after="0" w:line="240" w:lineRule="auto"/>
      <w:jc w:val="center"/>
      <w:rPr>
        <w:lang w:eastAsia="ko-KR"/>
      </w:rPr>
    </w:pPr>
    <w:r>
      <w:rPr>
        <w:color w:val="555555"/>
        <w:sz w:val="16"/>
        <w:lang w:eastAsia="ko-KR"/>
      </w:rPr>
      <w:t xml:space="preserve">QMS </w:t>
    </w:r>
    <w:proofErr w:type="gramStart"/>
    <w:r>
      <w:rPr>
        <w:color w:val="555555"/>
        <w:sz w:val="16"/>
        <w:lang w:eastAsia="ko-KR"/>
      </w:rPr>
      <w:t>통합문서  |</w:t>
    </w:r>
    <w:proofErr w:type="gramEnd"/>
    <w:r>
      <w:rPr>
        <w:color w:val="555555"/>
        <w:sz w:val="16"/>
        <w:lang w:eastAsia="ko-KR"/>
      </w:rPr>
      <w:t xml:space="preserve">  (주)</w:t>
    </w:r>
    <w:proofErr w:type="spellStart"/>
    <w:proofErr w:type="gramStart"/>
    <w:r>
      <w:rPr>
        <w:color w:val="555555"/>
        <w:sz w:val="16"/>
        <w:lang w:eastAsia="ko-KR"/>
      </w:rPr>
      <w:t>신화에이치앤티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Rev.</w:t>
    </w:r>
    <w:proofErr w:type="gramStart"/>
    <w:r>
      <w:rPr>
        <w:color w:val="555555"/>
        <w:sz w:val="16"/>
        <w:lang w:eastAsia="ko-KR"/>
      </w:rPr>
      <w:t>03  |</w:t>
    </w:r>
    <w:proofErr w:type="gramEnd"/>
    <w:r>
      <w:rPr>
        <w:color w:val="555555"/>
        <w:sz w:val="16"/>
        <w:lang w:eastAsia="ko-KR"/>
      </w:rPr>
      <w:t xml:space="preserve">  </w:t>
    </w:r>
    <w:proofErr w:type="spellStart"/>
    <w:proofErr w:type="gramStart"/>
    <w:r>
      <w:rPr>
        <w:color w:val="555555"/>
        <w:sz w:val="16"/>
        <w:lang w:eastAsia="ko-KR"/>
      </w:rPr>
      <w:t>승인본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Page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PAGE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</w:t>
    </w:r>
    <w:r>
      <w:rPr>
        <w:color w:val="555555"/>
        <w:sz w:val="16"/>
      </w:rPr>
      <w:fldChar w:fldCharType="end"/>
    </w:r>
    <w:r>
      <w:rPr>
        <w:color w:val="555555"/>
        <w:sz w:val="16"/>
        <w:lang w:eastAsia="ko-KR"/>
      </w:rPr>
      <w:t xml:space="preserve"> /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NUMPAGES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149</w:t>
    </w:r>
    <w:r>
      <w:rPr>
        <w:color w:val="555555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FB5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3719D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18C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21D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67DFC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E8CA" w14:textId="77777777" w:rsidR="00063ECA" w:rsidRDefault="00585C83">
    <w:pPr>
      <w:jc w:val="right"/>
      <w:rPr>
        <w:lang w:eastAsia="ko-KR"/>
      </w:rPr>
    </w:pPr>
    <w:r>
      <w:t xml:space="preserve">(주)신화에이치앤티  |  Rev.03  |  Page </w:t>
    </w:r>
    <w:fldSimple w:instr="PAGE">
      <w:r>
        <w:t>1</w:t>
      </w:r>
    </w:fldSimple>
    <w:r>
      <w:t xml:space="preserve"> of </w:t>
    </w:r>
    <w:fldSimple w:instr="NUMPAGES">
      <w:r>
        <w:t>1</w:t>
      </w:r>
    </w:fldSimple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834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F52F0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183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E8F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9D63B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DB2A9" w14:textId="77777777" w:rsidR="00EA3F5E" w:rsidRDefault="00EA3F5E">
      <w:pPr>
        <w:spacing w:after="0" w:line="240" w:lineRule="auto"/>
      </w:pPr>
      <w:r>
        <w:separator/>
      </w:r>
    </w:p>
  </w:footnote>
  <w:footnote w:type="continuationSeparator" w:id="0">
    <w:p w14:paraId="6565BBBD" w14:textId="77777777" w:rsidR="00EA3F5E" w:rsidRDefault="00EA3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1275F65F" w14:textId="77777777" w:rsidTr="00464DB2">
      <w:tc>
        <w:tcPr>
          <w:tcW w:w="2046" w:type="dxa"/>
          <w:vMerge w:val="restart"/>
        </w:tcPr>
        <w:p w14:paraId="7BD4BA12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3FB42CB" wp14:editId="493E4069">
                <wp:extent cx="900000" cy="66663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2AF34E0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품질경영매뉴얼</w:t>
          </w:r>
          <w:proofErr w:type="spellEnd"/>
        </w:p>
      </w:tc>
      <w:tc>
        <w:tcPr>
          <w:tcW w:w="3200" w:type="dxa"/>
        </w:tcPr>
        <w:p w14:paraId="53056E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9874DD" w14:textId="77777777" w:rsidTr="00464DB2">
      <w:tc>
        <w:tcPr>
          <w:tcW w:w="2046" w:type="dxa"/>
          <w:vMerge/>
        </w:tcPr>
        <w:p w14:paraId="5279465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18C81C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-QM-001</w:t>
          </w:r>
        </w:p>
      </w:tc>
      <w:tc>
        <w:tcPr>
          <w:tcW w:w="3200" w:type="dxa"/>
        </w:tcPr>
        <w:p w14:paraId="565B60A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15C7F59D" w14:textId="77777777" w:rsidR="00063ECA" w:rsidRDefault="00063ECA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B929" w14:textId="77777777" w:rsidR="008E371C" w:rsidRDefault="00F7078F">
    <w:pPr>
      <w:spacing w:after="0" w:line="240" w:lineRule="auto"/>
      <w:jc w:val="center"/>
      <w:rPr>
        <w:lang w:eastAsia="ko-KR"/>
      </w:rPr>
    </w:pPr>
    <w:r>
      <w:rPr>
        <w:color w:val="7A7A7A"/>
        <w:sz w:val="16"/>
        <w:lang w:eastAsia="ko-KR"/>
      </w:rPr>
      <w:t>(주)</w:t>
    </w:r>
    <w:proofErr w:type="spellStart"/>
    <w:proofErr w:type="gramStart"/>
    <w:r>
      <w:rPr>
        <w:color w:val="7A7A7A"/>
        <w:sz w:val="16"/>
        <w:lang w:eastAsia="ko-KR"/>
      </w:rPr>
      <w:t>신화에이치앤티</w:t>
    </w:r>
    <w:proofErr w:type="spellEnd"/>
    <w:r>
      <w:rPr>
        <w:color w:val="7A7A7A"/>
        <w:sz w:val="16"/>
        <w:lang w:eastAsia="ko-KR"/>
      </w:rPr>
      <w:t xml:space="preserve">  |</w:t>
    </w:r>
    <w:proofErr w:type="gramEnd"/>
    <w:r>
      <w:rPr>
        <w:color w:val="7A7A7A"/>
        <w:sz w:val="16"/>
        <w:lang w:eastAsia="ko-KR"/>
      </w:rPr>
      <w:t xml:space="preserve">  QMS 통합 </w:t>
    </w:r>
    <w:proofErr w:type="spellStart"/>
    <w:r>
      <w:rPr>
        <w:color w:val="7A7A7A"/>
        <w:sz w:val="16"/>
        <w:lang w:eastAsia="ko-KR"/>
      </w:rPr>
      <w:t>승인본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571D7EE6" w14:textId="77777777" w:rsidTr="00464DB2">
      <w:tc>
        <w:tcPr>
          <w:tcW w:w="2046" w:type="dxa"/>
          <w:vMerge w:val="restart"/>
        </w:tcPr>
        <w:p w14:paraId="353A1077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439E4BE" wp14:editId="6C093CBD">
                <wp:extent cx="900000" cy="666630"/>
                <wp:effectExtent l="0" t="0" r="0" b="0"/>
                <wp:docPr id="43929181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F9683F1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200" w:type="dxa"/>
        </w:tcPr>
        <w:p w14:paraId="1C507EC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1562DB0C" w14:textId="77777777" w:rsidTr="00464DB2">
      <w:tc>
        <w:tcPr>
          <w:tcW w:w="2046" w:type="dxa"/>
          <w:vMerge/>
        </w:tcPr>
        <w:p w14:paraId="219A2422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168F961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-QP-001~SH-QP-005</w:t>
          </w:r>
        </w:p>
      </w:tc>
      <w:tc>
        <w:tcPr>
          <w:tcW w:w="3200" w:type="dxa"/>
        </w:tcPr>
        <w:p w14:paraId="2333CD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0C7A0FE3" w14:textId="77777777" w:rsidR="00063ECA" w:rsidRDefault="00063ECA">
    <w:pPr>
      <w:spacing w:after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662E3F5" w14:textId="77777777" w:rsidTr="00464DB2">
      <w:tc>
        <w:tcPr>
          <w:tcW w:w="2046" w:type="dxa"/>
          <w:vMerge w:val="restart"/>
        </w:tcPr>
        <w:p w14:paraId="1E7E4C94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96C1845" wp14:editId="02EBE16B">
                <wp:extent cx="900000" cy="666630"/>
                <wp:effectExtent l="0" t="0" r="0" b="0"/>
                <wp:docPr id="184734300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6E4C81C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081CDD4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AD64417" w14:textId="77777777" w:rsidTr="00464DB2">
      <w:tc>
        <w:tcPr>
          <w:tcW w:w="2046" w:type="dxa"/>
          <w:vMerge/>
        </w:tcPr>
        <w:p w14:paraId="2AD01A0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843BB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-QP-006~SH-QP-010</w:t>
          </w:r>
        </w:p>
      </w:tc>
      <w:tc>
        <w:tcPr>
          <w:tcW w:w="3175" w:type="dxa"/>
        </w:tcPr>
        <w:p w14:paraId="47F3B0E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8FF0CB5" w14:textId="77777777" w:rsidR="00063ECA" w:rsidRDefault="00063ECA">
    <w:pPr>
      <w:spacing w:after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04DEDFA" w14:textId="77777777" w:rsidTr="00464DB2">
      <w:tc>
        <w:tcPr>
          <w:tcW w:w="2046" w:type="dxa"/>
          <w:vMerge w:val="restart"/>
        </w:tcPr>
        <w:p w14:paraId="6A5CB48B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E336AE3" wp14:editId="059855F8">
                <wp:extent cx="900000" cy="666630"/>
                <wp:effectExtent l="0" t="0" r="0" b="0"/>
                <wp:docPr id="131945352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1872F6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3A328C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3A6DD99" w14:textId="77777777" w:rsidTr="00464DB2">
      <w:tc>
        <w:tcPr>
          <w:tcW w:w="2046" w:type="dxa"/>
          <w:vMerge/>
        </w:tcPr>
        <w:p w14:paraId="08AF616C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B39184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-QP-011~SH-QP-015</w:t>
          </w:r>
        </w:p>
      </w:tc>
      <w:tc>
        <w:tcPr>
          <w:tcW w:w="3175" w:type="dxa"/>
        </w:tcPr>
        <w:p w14:paraId="6865C7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3900615" w14:textId="77777777" w:rsidR="00063ECA" w:rsidRDefault="00063ECA">
    <w:pPr>
      <w:spacing w:after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55FA2E1" w14:textId="77777777" w:rsidTr="00464DB2">
      <w:tc>
        <w:tcPr>
          <w:tcW w:w="2046" w:type="dxa"/>
          <w:vMerge w:val="restart"/>
        </w:tcPr>
        <w:p w14:paraId="205911F3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4026CADC" wp14:editId="2B412381">
                <wp:extent cx="900000" cy="666630"/>
                <wp:effectExtent l="0" t="0" r="0" b="0"/>
                <wp:docPr id="198890650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141267E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2128CD7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726212E" w14:textId="77777777" w:rsidTr="00464DB2">
      <w:tc>
        <w:tcPr>
          <w:tcW w:w="2046" w:type="dxa"/>
          <w:vMerge/>
        </w:tcPr>
        <w:p w14:paraId="30F8583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25E3FC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-QP-016~SH-QP-020</w:t>
          </w:r>
        </w:p>
      </w:tc>
      <w:tc>
        <w:tcPr>
          <w:tcW w:w="3175" w:type="dxa"/>
        </w:tcPr>
        <w:p w14:paraId="34C290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7CD3A152" w14:textId="77777777" w:rsidR="00063ECA" w:rsidRDefault="00063ECA">
    <w:pPr>
      <w:spacing w:after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2A40A7E3" w14:textId="77777777" w:rsidTr="00464DB2">
      <w:tc>
        <w:tcPr>
          <w:tcW w:w="2046" w:type="dxa"/>
          <w:vMerge w:val="restart"/>
        </w:tcPr>
        <w:p w14:paraId="19DFB4AA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CFBCD92" wp14:editId="630A65B4">
                <wp:extent cx="900000" cy="666630"/>
                <wp:effectExtent l="0" t="0" r="0" b="0"/>
                <wp:docPr id="39834919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22A9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6AC532F4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AFD892B" w14:textId="77777777" w:rsidTr="00464DB2">
      <w:tc>
        <w:tcPr>
          <w:tcW w:w="2046" w:type="dxa"/>
          <w:vMerge/>
        </w:tcPr>
        <w:p w14:paraId="0D75830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702FD1D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-QP-021~SH-QP-025</w:t>
          </w:r>
        </w:p>
      </w:tc>
      <w:tc>
        <w:tcPr>
          <w:tcW w:w="3175" w:type="dxa"/>
        </w:tcPr>
        <w:p w14:paraId="759332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B83FE53" w14:textId="77777777" w:rsidR="00063ECA" w:rsidRDefault="00063ECA">
    <w:pPr>
      <w:spacing w:after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4DA960" w14:textId="77777777" w:rsidR="00063ECA" w:rsidRDefault="00063ECA">
    <w:pPr>
      <w:spacing w:after="0"/>
    </w:pPr>
    <w:r>
      <w:t>(주)신화에이치앤티  |  SH-WI-004  |  문서상태: 개정초안(미승인)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8EC190C" w14:textId="77777777" w:rsidTr="00464DB2">
      <w:tc>
        <w:tcPr>
          <w:tcW w:w="2046" w:type="dxa"/>
          <w:vMerge w:val="restart"/>
        </w:tcPr>
        <w:p w14:paraId="4AB3D8F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D975DD6" wp14:editId="52F7A4C5">
                <wp:extent cx="900000" cy="666630"/>
                <wp:effectExtent l="0" t="0" r="0" b="0"/>
                <wp:docPr id="14131162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0976C7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7C2A2C22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7D5B6CDB" w14:textId="77777777" w:rsidTr="00464DB2">
      <w:tc>
        <w:tcPr>
          <w:tcW w:w="2046" w:type="dxa"/>
          <w:vMerge/>
        </w:tcPr>
        <w:p w14:paraId="1489D59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6D337C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-WI-006~SH-WI-010</w:t>
          </w:r>
        </w:p>
      </w:tc>
      <w:tc>
        <w:tcPr>
          <w:tcW w:w="3175" w:type="dxa"/>
        </w:tcPr>
        <w:p w14:paraId="700EA8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76C1A80" w14:textId="77777777" w:rsidR="00063ECA" w:rsidRDefault="00063ECA">
    <w:pPr>
      <w:spacing w:after="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1F9CCABB" w14:textId="77777777" w:rsidTr="00857C62">
      <w:tc>
        <w:tcPr>
          <w:tcW w:w="2046" w:type="dxa"/>
          <w:vMerge w:val="restart"/>
        </w:tcPr>
        <w:p w14:paraId="251054E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01790518" wp14:editId="1AC50FEF">
                <wp:extent cx="900000" cy="666630"/>
                <wp:effectExtent l="0" t="0" r="0" b="0"/>
                <wp:docPr id="11338145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E960BF0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5D54F736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F940E4B" w14:textId="77777777" w:rsidTr="00857C62">
      <w:tc>
        <w:tcPr>
          <w:tcW w:w="2046" w:type="dxa"/>
          <w:vMerge/>
        </w:tcPr>
        <w:p w14:paraId="5D1A21E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E94719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-WI-011~SH-WI-015</w:t>
          </w:r>
        </w:p>
      </w:tc>
      <w:tc>
        <w:tcPr>
          <w:tcW w:w="3175" w:type="dxa"/>
        </w:tcPr>
        <w:p w14:paraId="2FD593C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DF51F86" w14:textId="77777777" w:rsidR="00063ECA" w:rsidRDefault="00063ECA">
    <w:pPr>
      <w:spacing w:after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6E16721" w14:textId="77777777" w:rsidTr="00857C62">
      <w:tc>
        <w:tcPr>
          <w:tcW w:w="2046" w:type="dxa"/>
          <w:vMerge w:val="restart"/>
        </w:tcPr>
        <w:p w14:paraId="08A9B1E0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5010FBB" wp14:editId="64C537FC">
                <wp:extent cx="900000" cy="666630"/>
                <wp:effectExtent l="0" t="0" r="0" b="0"/>
                <wp:docPr id="83792506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1198C4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7C28736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B6239C4" w14:textId="77777777" w:rsidTr="00857C62">
      <w:tc>
        <w:tcPr>
          <w:tcW w:w="2046" w:type="dxa"/>
          <w:vMerge/>
        </w:tcPr>
        <w:p w14:paraId="003E35E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6DA7B63D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-WI-016~SH-WI-020</w:t>
          </w:r>
        </w:p>
      </w:tc>
      <w:tc>
        <w:tcPr>
          <w:tcW w:w="3175" w:type="dxa"/>
        </w:tcPr>
        <w:p w14:paraId="560726A4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24F0C64" w14:textId="77777777" w:rsidR="00063ECA" w:rsidRDefault="00063ECA">
    <w:pPr>
      <w:spacing w:after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E2BAB2A" w14:textId="77777777" w:rsidTr="00857C62">
      <w:tc>
        <w:tcPr>
          <w:tcW w:w="2046" w:type="dxa"/>
          <w:vMerge w:val="restart"/>
        </w:tcPr>
        <w:p w14:paraId="3FDFCB1F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D01A5D5" wp14:editId="4343D876">
                <wp:extent cx="900000" cy="666630"/>
                <wp:effectExtent l="0" t="0" r="0" b="0"/>
                <wp:docPr id="17398716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780424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5E7C35E0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1DA4170" w14:textId="77777777" w:rsidTr="00857C62">
      <w:tc>
        <w:tcPr>
          <w:tcW w:w="2046" w:type="dxa"/>
          <w:vMerge/>
        </w:tcPr>
        <w:p w14:paraId="4C524D76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72949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-WI-021~SH-WI-025</w:t>
          </w:r>
        </w:p>
      </w:tc>
      <w:tc>
        <w:tcPr>
          <w:tcW w:w="3175" w:type="dxa"/>
        </w:tcPr>
        <w:p w14:paraId="22BB2DD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D0D1F3C" w14:textId="77777777" w:rsidR="00063ECA" w:rsidRDefault="00063ECA">
    <w:pPr>
      <w:spacing w:after="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EFFFE44" w14:textId="77777777" w:rsidTr="00857C62">
      <w:tc>
        <w:tcPr>
          <w:tcW w:w="2046" w:type="dxa"/>
          <w:vMerge w:val="restart"/>
        </w:tcPr>
        <w:p w14:paraId="2EBDC12E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CD3F8EB" wp14:editId="0B00FEE1">
                <wp:extent cx="900000" cy="666630"/>
                <wp:effectExtent l="0" t="0" r="0" b="0"/>
                <wp:docPr id="4710652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40A8DC73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제6권</w:t>
          </w:r>
        </w:p>
      </w:tc>
      <w:tc>
        <w:tcPr>
          <w:tcW w:w="3175" w:type="dxa"/>
        </w:tcPr>
        <w:p w14:paraId="291E005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5FED0ADE" w14:textId="77777777" w:rsidTr="00857C62">
      <w:tc>
        <w:tcPr>
          <w:tcW w:w="2046" w:type="dxa"/>
          <w:vMerge/>
        </w:tcPr>
        <w:p w14:paraId="3DCA6FCA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A2F603E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-WI-026~SH-WI-030</w:t>
          </w:r>
        </w:p>
      </w:tc>
      <w:tc>
        <w:tcPr>
          <w:tcW w:w="3175" w:type="dxa"/>
        </w:tcPr>
        <w:p w14:paraId="268BE56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3C6CE0D" w14:textId="77777777" w:rsidR="00063ECA" w:rsidRDefault="00063ECA"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329810">
    <w:abstractNumId w:val="8"/>
  </w:num>
  <w:num w:numId="2" w16cid:durableId="1611429179">
    <w:abstractNumId w:val="6"/>
  </w:num>
  <w:num w:numId="3" w16cid:durableId="1984194218">
    <w:abstractNumId w:val="5"/>
  </w:num>
  <w:num w:numId="4" w16cid:durableId="1399399245">
    <w:abstractNumId w:val="4"/>
  </w:num>
  <w:num w:numId="5" w16cid:durableId="257569642">
    <w:abstractNumId w:val="7"/>
  </w:num>
  <w:num w:numId="6" w16cid:durableId="1552687051">
    <w:abstractNumId w:val="3"/>
  </w:num>
  <w:num w:numId="7" w16cid:durableId="1403916308">
    <w:abstractNumId w:val="2"/>
  </w:num>
  <w:num w:numId="8" w16cid:durableId="142505590">
    <w:abstractNumId w:val="1"/>
  </w:num>
  <w:num w:numId="9" w16cid:durableId="214322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27B"/>
    <w:rsid w:val="00034616"/>
    <w:rsid w:val="00055277"/>
    <w:rsid w:val="0006063C"/>
    <w:rsid w:val="00063ECA"/>
    <w:rsid w:val="00074EE4"/>
    <w:rsid w:val="000F0660"/>
    <w:rsid w:val="00115F3C"/>
    <w:rsid w:val="0015074B"/>
    <w:rsid w:val="00162131"/>
    <w:rsid w:val="001C0B68"/>
    <w:rsid w:val="001E7772"/>
    <w:rsid w:val="00222A30"/>
    <w:rsid w:val="0024710A"/>
    <w:rsid w:val="00254A8E"/>
    <w:rsid w:val="0029083C"/>
    <w:rsid w:val="0029639D"/>
    <w:rsid w:val="002B7710"/>
    <w:rsid w:val="002C6B26"/>
    <w:rsid w:val="00326F90"/>
    <w:rsid w:val="003B3300"/>
    <w:rsid w:val="003C2515"/>
    <w:rsid w:val="003E32A4"/>
    <w:rsid w:val="004322E9"/>
    <w:rsid w:val="00464DB2"/>
    <w:rsid w:val="004836DF"/>
    <w:rsid w:val="004851E3"/>
    <w:rsid w:val="00495B5D"/>
    <w:rsid w:val="004A0EB4"/>
    <w:rsid w:val="004E720E"/>
    <w:rsid w:val="00505B86"/>
    <w:rsid w:val="00534D3B"/>
    <w:rsid w:val="005439AA"/>
    <w:rsid w:val="00570A89"/>
    <w:rsid w:val="0057513D"/>
    <w:rsid w:val="00585C83"/>
    <w:rsid w:val="0059718B"/>
    <w:rsid w:val="00597C3A"/>
    <w:rsid w:val="005E5D76"/>
    <w:rsid w:val="005E5F01"/>
    <w:rsid w:val="0065531F"/>
    <w:rsid w:val="00696FB8"/>
    <w:rsid w:val="006A33C3"/>
    <w:rsid w:val="006E52B2"/>
    <w:rsid w:val="00701308"/>
    <w:rsid w:val="007866A1"/>
    <w:rsid w:val="007C6019"/>
    <w:rsid w:val="00857C62"/>
    <w:rsid w:val="00871FE3"/>
    <w:rsid w:val="008A6F9E"/>
    <w:rsid w:val="008B2824"/>
    <w:rsid w:val="008E371C"/>
    <w:rsid w:val="009B46D2"/>
    <w:rsid w:val="009D0200"/>
    <w:rsid w:val="00A0634A"/>
    <w:rsid w:val="00A07C7A"/>
    <w:rsid w:val="00A40BD7"/>
    <w:rsid w:val="00A52793"/>
    <w:rsid w:val="00A542F0"/>
    <w:rsid w:val="00AA1D8D"/>
    <w:rsid w:val="00AF32AD"/>
    <w:rsid w:val="00B31FC6"/>
    <w:rsid w:val="00B407E4"/>
    <w:rsid w:val="00B47730"/>
    <w:rsid w:val="00B5058F"/>
    <w:rsid w:val="00B77CD0"/>
    <w:rsid w:val="00BA6380"/>
    <w:rsid w:val="00BC099E"/>
    <w:rsid w:val="00BC0F7F"/>
    <w:rsid w:val="00BF1599"/>
    <w:rsid w:val="00C7492D"/>
    <w:rsid w:val="00CB0664"/>
    <w:rsid w:val="00CC1B3F"/>
    <w:rsid w:val="00D02681"/>
    <w:rsid w:val="00D074C2"/>
    <w:rsid w:val="00D174A2"/>
    <w:rsid w:val="00D42A57"/>
    <w:rsid w:val="00D82032"/>
    <w:rsid w:val="00D85507"/>
    <w:rsid w:val="00DF4EC7"/>
    <w:rsid w:val="00E63480"/>
    <w:rsid w:val="00E66B00"/>
    <w:rsid w:val="00E87491"/>
    <w:rsid w:val="00EA3F5E"/>
    <w:rsid w:val="00F30926"/>
    <w:rsid w:val="00F7078F"/>
    <w:rsid w:val="00F905C7"/>
    <w:rsid w:val="00FC693F"/>
    <w:rsid w:val="00FD66F9"/>
    <w:rsid w:val="00FE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0D120C"/>
  <w14:defaultImageDpi w14:val="330"/>
  <w15:docId w15:val="{68CF7CE2-359B-4EC3-8FA7-EC811871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맑은 고딕" w:hAnsi="맑은 고딕"/>
      <w:color w:val="000000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/>
      <w:color w:val="000000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맑은 고딕" w:hAnsi="맑은 고딕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SSection1">
    <w:name w:val="QMS Section 1"/>
    <w:basedOn w:val="a1"/>
    <w:next w:val="a1"/>
    <w:rsid w:val="00FC693F"/>
    <w:pPr>
      <w:spacing w:before="480" w:after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QMSSection2">
    <w:name w:val="QMS Section 2"/>
    <w:basedOn w:val="a1"/>
    <w:next w:val="a1"/>
    <w:rsid w:val="00FC693F"/>
    <w:pPr>
      <w:spacing w:before="200" w:after="0"/>
    </w:pPr>
    <w:rPr>
      <w:rFonts w:asciiTheme="majorHAnsi" w:eastAsiaTheme="majorEastAsia" w:hAnsiTheme="majorHAnsi" w:cstheme="majorBidi"/>
      <w:b/>
      <w:bCs/>
      <w:sz w:val="25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theme" Target="theme/theme1.xml"/><Relationship Id="rId8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158</Pages>
  <Words>15593</Words>
  <Characters>88885</Characters>
  <Application>Microsoft Office Word</Application>
  <DocSecurity>0</DocSecurity>
  <Lines>740</Lines>
  <Paragraphs>208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QMS Rev.00 통합문서 - 승인결재 포함</vt:lpstr>
      <vt:lpstr/>
    </vt:vector>
  </TitlesOfParts>
  <Manager/>
  <Company/>
  <LinksUpToDate>false</LinksUpToDate>
  <CharactersWithSpaces>104270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품질경영시스템 통합문서 Rev03 최종안</dc:title>
  <dc:subject>QM/QP/WI Rev.00 최초 제정 통합본</dc:subject>
  <dc:creator>(주)신화에이치앤티</dc:creator>
  <cp:keywords>QM, QP, WI, IATF16949, ISO9001, Rev.00</cp:keywords>
  <dc:description>최초 제정 Rev.00 통합 편집본</dc:description>
  <cp:lastModifiedBy>철호 박</cp:lastModifiedBy>
  <cp:revision>3</cp:revision>
  <cp:lastPrinted>2026-09-07T22:45:00Z</cp:lastPrinted>
  <dcterms:created xsi:type="dcterms:W3CDTF">2026-09-29T01:15:00Z</dcterms:created>
  <dcterms:modified xsi:type="dcterms:W3CDTF">2026-09-29T01:27:00Z</dcterms:modified>
  <cp:category/>
</cp:coreProperties>
</file>