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SH-WI-007 검사구및GaugeR&amp;R수행표준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SH-WI-007 부분을 낱개 문서로 발행하기 위한 개정본이며 내용은 통합문서와 동일하다.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검사구 사용 전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Gauge R&amp;R 준비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결과 평가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재분석 조건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587797F2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SH-WI-007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검사구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Gauge R&amp;R 수행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CE059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CFD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C4E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A2A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06B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2D4A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A4A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7DB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D31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E69F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F8FF0D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F2C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CB23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및 Gauge R&amp;R 수행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EE6B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A301F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916458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86A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A9B3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57AD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2B6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D4A2EE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69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D7B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584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19C2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 / SH-QP-023</w:t>
            </w:r>
          </w:p>
        </w:tc>
      </w:tr>
      <w:tr w:rsidR="008E371C" w14:paraId="3D4A2EE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69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D7B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584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19C2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61F577D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검사구의 상태를 유지하고 반복성·재현성 분석을 일관된 방법으로 수행하여 측정시스템이 공정 및 제품 판정에 적합한지 확인한다.</w:t>
      </w:r>
    </w:p>
    <w:p w14:paraId="09D065A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검사구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사용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</w:t>
      </w:r>
    </w:p>
    <w:p w14:paraId="1AD90413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 xml:space="preserve"> 고유번호와 적용 품번 확인</w:t>
      </w:r>
    </w:p>
    <w:p w14:paraId="127E142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교정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검증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유효상태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확인</w:t>
      </w:r>
      <w:proofErr w:type="spellEnd"/>
    </w:p>
    <w:p w14:paraId="09D838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접촉면·기준면의 손상, 이물, 변형 확인</w:t>
      </w:r>
    </w:p>
    <w:p w14:paraId="4706A92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Master 또는 기준품이 있는 경우 기능 확인</w:t>
      </w:r>
    </w:p>
    <w:p w14:paraId="6594BB06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GO/NO-GO </w:t>
      </w:r>
      <w:proofErr w:type="spellStart"/>
      <w:r>
        <w:rPr>
          <w:sz w:val="21"/>
        </w:rPr>
        <w:t>방향과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판정기준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확인</w:t>
      </w:r>
      <w:proofErr w:type="spellEnd"/>
    </w:p>
    <w:p w14:paraId="15D7BE4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Gauge R&amp;R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20E780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C8A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B0A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0A394F3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0D4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3F9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측정업무를 수행하는 적격 인원</w:t>
            </w:r>
          </w:p>
        </w:tc>
      </w:tr>
      <w:tr w:rsidR="008E371C" w14:paraId="6177B31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1E0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02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변동을 대표하는 샘플 선정</w:t>
            </w:r>
          </w:p>
        </w:tc>
      </w:tr>
      <w:tr w:rsidR="008E371C" w14:paraId="394B362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EC0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DFA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사전에 정한 반복 측정 횟수 적용</w:t>
            </w:r>
          </w:p>
        </w:tc>
      </w:tr>
      <w:tr w:rsidR="008E371C" w14:paraId="5953B4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6972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순서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56930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측정순서를 가능한 무작위화</w:t>
            </w:r>
          </w:p>
        </w:tc>
      </w:tr>
      <w:tr w:rsidR="008E371C" w14:paraId="3952751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728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2194B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양산 측정방법과 동일</w:t>
            </w:r>
          </w:p>
        </w:tc>
      </w:tr>
      <w:tr w:rsidR="008E371C" w14:paraId="04A26B4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1BF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C3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원시 측정값을 수정 없이 기록</w:t>
            </w:r>
          </w:p>
        </w:tc>
      </w:tr>
    </w:tbl>
    <w:p w14:paraId="65FAE29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적용 검사특성과 고객 요구에 맞는 계수형 평가방법을 선정한다. 평가 목적, 시료구성, 평가자, 반복횟수, 평가순서, 지표·판정기준과 재평가 조건을 평가 전에 승인한다. 계량형 R&amp;R 지표나 </w:t>
      </w:r>
      <w:proofErr w:type="spellStart"/>
      <w:r>
        <w:rPr>
          <w:sz w:val="21"/>
          <w:lang w:eastAsia="ko-KR"/>
        </w:rPr>
        <w:t>허용값을</w:t>
      </w:r>
      <w:proofErr w:type="spellEnd"/>
      <w:r>
        <w:rPr>
          <w:sz w:val="21"/>
          <w:lang w:eastAsia="ko-KR"/>
        </w:rPr>
        <w:t xml:space="preserve"> 근거 없이 계수형 판정에 적용하지 않는다.</w:t>
      </w:r>
    </w:p>
    <w:p w14:paraId="64D41D49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실제 판정범위를 대표하도록 시료를 선정하고 합격·불합격 및 경계 상태를 고려한다. 기준판정은 승인된 방법으로 확정하고 평가자에게 정답이나 이전 결과가 노출되지 않도록 관리한다. 시료번호와 제시순서를 기록하여 반복평가 중 기억·순서 영향을 줄인다.</w:t>
      </w:r>
    </w:p>
    <w:p w14:paraId="387476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결과 평가</w:t>
      </w:r>
    </w:p>
    <w:p w14:paraId="66F5C5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분석방법과 합격기준은 고객 요구 또는 회사 MSA 기준을 따른다. 부적합 또는 조건부 결과는 측정방법,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, 계측기, </w:t>
      </w: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 xml:space="preserve"> 교육 및 제품 공차 대비 분해능을 검토한다. 각 평가자의 반복 판정 원자료를 보존하고 승인된 분석방법으로 평가자 내·평가자 간·기준판정 대비 결과를 확인한다. 사용한 도구·버전, </w:t>
      </w:r>
      <w:proofErr w:type="spellStart"/>
      <w:r>
        <w:rPr>
          <w:sz w:val="21"/>
          <w:lang w:eastAsia="ko-KR"/>
        </w:rPr>
        <w:t>지표값</w:t>
      </w:r>
      <w:proofErr w:type="spellEnd"/>
      <w:r>
        <w:rPr>
          <w:sz w:val="21"/>
          <w:lang w:eastAsia="ko-KR"/>
        </w:rPr>
        <w:t>, 기준 출처 및 판정을 기록한다.</w:t>
      </w:r>
    </w:p>
    <w:p w14:paraId="7D9F54B7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기준 미달 시 시료·판정기준·환경·방법·교육을 개선한 후 재평가하고 적용 제한 여부를 결정한다.</w:t>
      </w:r>
    </w:p>
    <w:p w14:paraId="6481FBB2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SH-FM-316 계수형R&amp;R </w:t>
      </w:r>
      <w:proofErr w:type="spellStart"/>
      <w:r>
        <w:rPr>
          <w:sz w:val="21"/>
          <w:lang w:eastAsia="ko-KR"/>
        </w:rPr>
        <w:t xml:space="preserve">계획대실적표</w:t>
      </w:r>
      <w:proofErr w:type="spellEnd"/>
      <w:r>
        <w:rPr>
          <w:sz w:val="21"/>
          <w:lang w:eastAsia="ko-KR"/>
        </w:rPr>
        <w:t xml:space="preserve">, SH-FM-317 계수형R&amp;R 실시실적에 작성하고 최신 승인 문서관리대장에 따라 보관한다.</w:t>
      </w:r>
    </w:p>
    <w:p w14:paraId="69A1C86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재분석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</w:p>
    <w:p w14:paraId="7E9146F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신규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측정시스템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도입</w:t>
      </w:r>
      <w:proofErr w:type="spellEnd"/>
    </w:p>
    <w:p w14:paraId="265B889C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/계측기 중대한 수리·변경</w:t>
      </w:r>
    </w:p>
    <w:p w14:paraId="2094824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측정방법 또는 </w:t>
      </w: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 xml:space="preserve"> 체계 변경</w:t>
      </w:r>
    </w:p>
    <w:p w14:paraId="7C5744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제품/공정 변경으로 측정조건 영향 발생</w:t>
      </w:r>
    </w:p>
    <w:p w14:paraId="3AF9FFB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또는 정기 재평가 시점</w:t>
      </w:r>
    </w:p>
    <w:p w14:paraId="61F577D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6. 적용범위</w:t>
      </w:r>
      <w:proofErr w:type="spellStart"/>
      <w:proofErr w:type="spellEnd"/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검사구 및 Gauge R&amp;R 수행 표준 업무를 수행하는 부서와 관련 기록에 적용한다.</w:t>
      </w:r>
    </w:p>
    <w:p w14:paraId="61F577D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7. 보존기간</w:t>
      </w:r>
      <w:proofErr w:type="spellStart"/>
      <w:proofErr w:type="spellEnd"/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61F577D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 작업방법</w:t>
      </w:r>
      <w:proofErr w:type="spellStart"/>
      <w:proofErr w:type="spellEnd"/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검사구 사용 전', '3. Gauge R&amp;R 준비', '4. 결과 평가', '5. 재분석 조건'에서 정한 절차에 따른다.</w:t>
      </w:r>
    </w:p>
    <w:sectPr w:rsidR="008E371C">
      <w:headerReference w:type="default" r:id="rId24"/>
      <w:footerReference w:type="default" r:id="rId25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1A80" w14:textId="77777777" w:rsidR="00063ECA" w:rsidRDefault="00063ECA">
    <w:pPr>
      <w:spacing w:after="0"/>
    </w:pPr>
    <w:r>
      <w:t>(주)신화에이치앤티  |  SH-WI-007  |  문서상태: 개정초안(미승인)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