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SH-QP-003 기록관리절차서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SH-QP-003 부분을 낱개 문서로 발행하기 위한 개정본이며 내용은 통합문서와 동일하다.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기록관리 원칙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보존기간 설정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기록의 수정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보관·백업·폐기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정하되 기본 보존기간은 5년으로 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>(주)신화에이치앤티  |  SH-QP-003  | 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