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D2C8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</w:p>
    <w:p w14:paraId="100D2C8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SH-QP-006 교육훈련및역량관리절차서</w:t>
      </w:r>
    </w:p>
    <w:p w14:paraId="100D2C8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문서상태: 개정초안(미승인)</w:t>
      </w:r>
    </w:p>
    <w:p w14:paraId="100D2C8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SH-QP-006 부분을 낱개 문서로 발행하기 위한 개정본이며 내용은 통합문서와 동일하다.</w:t>
      </w:r>
    </w:p>
    <w:p w14:paraId="100D2C8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</w:p>
    <w:p w14:paraId="100D2C8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</w:p>
    <w:p w14:paraId="100D2C8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적용범위</w:t>
      </w:r>
    </w:p>
    <w:p w14:paraId="100D2C8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책임과 권한</w:t>
      </w:r>
    </w:p>
    <w:p w14:paraId="100D2C8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교육 및 자격관리 절차</w:t>
      </w:r>
    </w:p>
    <w:p w14:paraId="100D2C8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현장훈련</w:t>
      </w:r>
    </w:p>
    <w:p w14:paraId="100D2C8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인식 및 동기부여</w:t>
      </w:r>
    </w:p>
    <w:p w14:paraId="100D2C8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관련 기록</w:t>
      </w:r>
    </w:p>
    <w:p w14:paraId="100D2C8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보존기간</w:t>
      </w:r>
    </w:p>
    <w:p w14:paraId="01FBEE11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SH-QP-006 교육훈련 및 역량관리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2D496C3E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E8BA1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3731B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7AF68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51342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13C2188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CA5E5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9204F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SH-QP-006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D4B3E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072FD0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7FC6B62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34B8D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A39487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교육훈련 및 역량관리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85CE0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3D5A86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2444144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479A9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0350C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3EB0A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0C69D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0AC5C0F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CB893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5CDD0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971BC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122FEF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7.2, </w:t>
            </w:r>
            <w:proofErr w:type="gramStart"/>
            <w:r>
              <w:rPr>
                <w:sz w:val="18"/>
                <w:lang w:eastAsia="ko-KR"/>
              </w:rPr>
              <w:t>7.3 /</w:t>
            </w:r>
            <w:proofErr w:type="gramEnd"/>
            <w:r>
              <w:rPr>
                <w:sz w:val="18"/>
                <w:lang w:eastAsia="ko-KR"/>
              </w:rPr>
              <w:t xml:space="preserve"> IATF 역량·현장훈련 요구</w:t>
            </w:r>
          </w:p>
        </w:tc>
      </w:tr>
      <w:tr w:rsidR="008E371C" w14:paraId="0AC5C0F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CB893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5CDD0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971BC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122FEF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Rev.03</w:t>
            </w:r>
            <w:proofErr w:type="gramStart"/>
            <w:r>
              <w:rPr>
                <w:sz w:val="18"/>
                <w:lang w:eastAsia="ko-KR"/>
              </w:rPr>
            </w:r>
            <w:proofErr w:type="gramEnd"/>
            <w:r>
              <w:rPr>
                <w:sz w:val="18"/>
                <w:lang w:eastAsia="ko-KR"/>
              </w:rPr>
            </w:r>
          </w:p>
        </w:tc>
      </w:tr>
    </w:tbl>
    <w:p w14:paraId="5F886EB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100D2C8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및 공정 품질에 영향을 주는 인원의 필요한 역량을 정의하고 교육, 훈련, 경험 및 자격관리를 통해 적격성을 확보·유지하는 방법을 규정한다.</w:t>
      </w:r>
    </w:p>
    <w:p w14:paraId="647288D7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2. 적용범위</w:t>
      </w:r>
    </w:p>
    <w:p w14:paraId="18F890B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전 임직원, 신규/전환배치 인원, 검사원, 내부심사원, 공정심사원, 제품안전 관련 인원 및 품질에 영향을 주는 외부/계약 인력에 적용한다.</w:t>
      </w:r>
    </w:p>
    <w:p w14:paraId="12D4E34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책임과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권한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427FFB71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1FB4A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역할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61EAF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719134E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DE059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인사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89BFD5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연간 교육계획, 공통교육 및 기록관리</w:t>
            </w:r>
          </w:p>
        </w:tc>
      </w:tr>
      <w:tr w:rsidR="008E371C" w14:paraId="68FA96D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A6882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C26071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직무별 역량기준, OJT, 효과성 평가</w:t>
            </w:r>
          </w:p>
        </w:tc>
      </w:tr>
      <w:tr w:rsidR="008E371C" w14:paraId="0019273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7943A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25CC3D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품질/검사/심사/Core Tools 자격기준 관리</w:t>
            </w:r>
          </w:p>
        </w:tc>
      </w:tr>
      <w:tr w:rsidR="008E371C" w14:paraId="13B858D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012CF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27A38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교육 참여, 표준 준수, 이상 즉시 보고</w:t>
            </w:r>
          </w:p>
        </w:tc>
      </w:tr>
    </w:tbl>
    <w:p w14:paraId="2234124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교육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자격관리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절차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396558BD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AF260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51F53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3A0F2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6D99896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0A1C4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역량정의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EAE26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직무별 지식·기술·경험·자격 설정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FC356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직무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역량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매트릭스</w:t>
            </w:r>
            <w:proofErr w:type="spellEnd"/>
          </w:p>
        </w:tc>
      </w:tr>
      <w:tr w:rsidR="008E371C" w14:paraId="1FEBE59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3A391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Gap </w:t>
            </w: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AC47F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현재 역량과 요구역량 비교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51EC8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필요성</w:t>
            </w:r>
            <w:proofErr w:type="spellEnd"/>
          </w:p>
        </w:tc>
      </w:tr>
      <w:tr w:rsidR="008E371C" w14:paraId="738CF70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D29C1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계획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BA922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연간/수시 교육계획 수립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8557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교육계획</w:t>
            </w:r>
            <w:proofErr w:type="spellEnd"/>
          </w:p>
        </w:tc>
      </w:tr>
      <w:tr w:rsidR="008E371C" w14:paraId="10AD5CE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EE706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실시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5B447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사내·외 교육, OJT, 실습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5F28C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교육일지</w:t>
            </w:r>
            <w:proofErr w:type="spellEnd"/>
          </w:p>
        </w:tc>
      </w:tr>
      <w:tr w:rsidR="008E371C" w14:paraId="59C8E10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D2ADC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60FE7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시험, 실기, 관찰, 성과로 효과확인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0FC36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효과성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</w:tr>
      <w:tr w:rsidR="008E371C" w14:paraId="6985D30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6E68E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자격승인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BAE35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검사/심사/특수업무 등 승인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B1869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자격인증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52C263D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FCC06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유지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6D1C1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재교육, </w:t>
            </w:r>
            <w:proofErr w:type="spellStart"/>
            <w:r>
              <w:rPr>
                <w:sz w:val="18"/>
                <w:lang w:eastAsia="ko-KR"/>
              </w:rPr>
              <w:t>재자격</w:t>
            </w:r>
            <w:proofErr w:type="spellEnd"/>
            <w:r>
              <w:rPr>
                <w:sz w:val="18"/>
                <w:lang w:eastAsia="ko-KR"/>
              </w:rPr>
              <w:t>, 만료관리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DC33F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자격현황</w:t>
            </w:r>
            <w:proofErr w:type="spellEnd"/>
          </w:p>
        </w:tc>
      </w:tr>
    </w:tbl>
    <w:p w14:paraId="067C4802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주관부서는 검사원·현장작업자 등 자격대상 업무를 정하고 요구지식, 실기능력, 평가방법과 합격기준을 직무별로 문서화한다. 중요 특성·부적합 판별·이상대응을 평가에 포함하고 평가자와 승인자의 권한을 지정한다.</w:t>
      </w:r>
    </w:p>
    <w:p w14:paraId="68E32A99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대상자는 필요한 교육·훈련을 이수한 후 지식·실기평가를 받는다. 실제 평가자료와 결과를 보관하고 승인된 업무·공정에 한해 독립작업을 허용한다. 자격인증서에는 대상자, 업무범위, 승인일 및 적용되는 유효기간을 식별한다.</w:t>
      </w:r>
    </w:p>
    <w:p w14:paraId="6DE6206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현장훈련</w:t>
      </w:r>
    </w:p>
    <w:p w14:paraId="3076BE3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또는 변경 직무 배치자는 독립작업 전에 작업표준, 품질기준, 특수특성, 안전 및 이상발생 대응을 포함한 현장훈련을 받아야 한다. 중요업무는 실기평가 후 자격 승인한다.</w:t>
      </w:r>
    </w:p>
    <w:p w14:paraId="566BAB2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 </w:t>
      </w:r>
      <w:proofErr w:type="spellStart"/>
      <w:r>
        <w:rPr>
          <w:rFonts w:ascii="맑은 고딕" w:eastAsia="맑은 고딕" w:hAnsi="맑은 고딕" w:cs="맑은 고딕"/>
          <w:sz w:val="24"/>
        </w:rPr>
        <w:t>인식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동기부여</w:t>
      </w:r>
      <w:proofErr w:type="spellEnd"/>
    </w:p>
    <w:p w14:paraId="7B92D8D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품질방침과 담당 품질목표 포상 대상, 평가항목, 심사·승인권한과 예산 기준을 사전에 정하고 실제 개선성과 및 유지확인 자료로 심사한다. 품의서에는 대상자·공적·증빙·심사결과를 기록하며 승인 전에 포상 완료로 표시하지 않는다. 종결한 과제도 지정한 방법으로 유지상태를 확인한다.</w:t>
      </w:r>
    </w:p>
    <w:p w14:paraId="4B95240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요구 및 특수특성의 중요성</w:t>
      </w:r>
    </w:p>
    <w:p w14:paraId="33948A8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부적합품이 고객과 회사에 미치는 영향</w:t>
      </w:r>
    </w:p>
    <w:p w14:paraId="6493DA7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이상 발생 시 정지·격리·보고 책임</w:t>
      </w:r>
    </w:p>
    <w:p w14:paraId="1730537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개선활동 및 우수성과 참여</w:t>
      </w:r>
    </w:p>
    <w:p w14:paraId="33FE75A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7. </w:t>
      </w:r>
      <w:proofErr w:type="spellStart"/>
      <w:r>
        <w:rPr>
          <w:rFonts w:ascii="맑은 고딕" w:eastAsia="맑은 고딕" w:hAnsi="맑은 고딕" w:cs="맑은 고딕"/>
          <w:sz w:val="24"/>
        </w:rPr>
        <w:t>관련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기록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259444FE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F3C8A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6591B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관리책임</w:t>
            </w:r>
            <w:proofErr w:type="spellEnd"/>
          </w:p>
        </w:tc>
      </w:tr>
      <w:tr w:rsidR="008E371C" w14:paraId="05F2F31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27959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교육계획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실적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A1DEF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2552D68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65430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교육일지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효과평가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CA274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각 </w:t>
            </w:r>
            <w:proofErr w:type="spellStart"/>
            <w:r>
              <w:rPr>
                <w:sz w:val="18"/>
              </w:rPr>
              <w:t>부서</w:t>
            </w:r>
            <w:proofErr w:type="spellEnd"/>
          </w:p>
        </w:tc>
      </w:tr>
      <w:tr w:rsidR="008E371C" w14:paraId="5A1457D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FC777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직무역량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매트릭스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80178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각 </w:t>
            </w:r>
            <w:proofErr w:type="spellStart"/>
            <w:r>
              <w:rPr>
                <w:sz w:val="18"/>
              </w:rPr>
              <w:t>부서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686D58A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7B727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검사원/심사원 등 자격대장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E2BCA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</w:tbl>
    <w:p w14:paraId="45EF82E5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관련 기록은 SH-FM-313 자격인증관리 기준서에 작성하고 최신 승인 문서관리대장에 따라 보관한다.</w:t>
      </w:r>
    </w:p>
    <w:p w14:paraId="5F886EB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보존기간</w:t>
      </w:r>
    </w:p>
    <w:p w14:paraId="100D2C8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</w:p>
    <w:sectPr w:rsidR="008E371C">
      <w:headerReference w:type="default" r:id="rId14"/>
      <w:footerReference w:type="default" r:id="rId15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F0CB5" w14:textId="77777777" w:rsidR="00063ECA" w:rsidRDefault="00063ECA">
    <w:pPr>
      <w:spacing w:after="0"/>
    </w:pPr>
    <w:r>
      <w:t>(주)신화에이치앤티  |  SH-QP-006  |  문서상태: 개정초안(미승인)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