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SH-QP-003 기록관리절차서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SH-QP-003 부분을 낱개 문서로 발행하기 위한 개정본이며 내용은 통합문서와 동일하다.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적용범위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기록관리 원칙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보존기간 설정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기록의 수정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보관·백업·폐기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관련 기록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책임과 권한</w:t>
      </w:r>
    </w:p>
    <w:p w14:paraId="6455A304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SH-QP-003 기록관리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1F2FC9F4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5BCF7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3290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E8CA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AE8B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2522F1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7635209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4EE62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SH-QP-003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1546B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706151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10F8E4E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E5C7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B28DE8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EED0B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C9E23C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128EECF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7221D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8A4B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선행품질팀 팀장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7D095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DB250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191754D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5E76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477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798A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B6BA5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7.5.3 /</w:t>
            </w:r>
            <w:proofErr w:type="gramEnd"/>
            <w:r>
              <w:rPr>
                <w:sz w:val="18"/>
                <w:lang w:eastAsia="ko-KR"/>
              </w:rPr>
              <w:t xml:space="preserve"> IATF 기록보존 요구</w:t>
            </w:r>
          </w:p>
        </w:tc>
      </w:tr>
      <w:tr w:rsidR="008E371C" w14:paraId="191754DA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5E76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0477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798A2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B6BA56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  <w:proofErr w:type="gramStart"/>
            <w:r>
              <w:rPr>
                <w:sz w:val="18"/>
                <w:lang w:eastAsia="ko-KR"/>
              </w:rPr>
            </w:r>
            <w:proofErr w:type="gramEnd"/>
            <w:r>
              <w:rPr>
                <w:sz w:val="18"/>
                <w:lang w:eastAsia="ko-KR"/>
              </w:rPr>
            </w:r>
          </w:p>
        </w:tc>
      </w:tr>
    </w:tbl>
    <w:p w14:paraId="2F1F005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품질경영시스템의 실행과 제품 적합성에 대한 객관적 증거인 기록을 식별, 작성, 보관, 보호, 검색, 보존 및 폐기하는 방법을 규정한다.</w:t>
      </w:r>
    </w:p>
    <w:p w14:paraId="31AD4EA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2. 적용범위</w:t>
      </w:r>
    </w:p>
    <w:p w14:paraId="60AE194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종이 및 전자 형태의 품질, 생산, 검사, 개발, 구매, 설비, 교육, 심사, 고객 및 추적성 기록에 적용한다.</w:t>
      </w:r>
    </w:p>
    <w:p w14:paraId="120BB73F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기록관리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원칙</w:t>
      </w:r>
      <w:proofErr w:type="spellEnd"/>
    </w:p>
    <w:p w14:paraId="66819D3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읽기 쉽고 식별·검색 가능하도록 작성</w:t>
      </w:r>
    </w:p>
    <w:p w14:paraId="1578283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작성자/일자/</w:t>
      </w:r>
      <w:proofErr w:type="spellStart"/>
      <w:r>
        <w:rPr>
          <w:sz w:val="21"/>
          <w:lang w:eastAsia="ko-KR"/>
        </w:rPr>
        <w:t>로트</w:t>
      </w:r>
      <w:proofErr w:type="spellEnd"/>
      <w:r>
        <w:rPr>
          <w:sz w:val="21"/>
          <w:lang w:eastAsia="ko-KR"/>
        </w:rPr>
        <w:t xml:space="preserve"> 등 필요한 추적정보 포함</w:t>
      </w:r>
    </w:p>
    <w:p w14:paraId="3DAB571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무단변경·분실·손상 방지</w:t>
      </w:r>
    </w:p>
    <w:p w14:paraId="7137EA89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전자기록은 접근권한과 백업 관리</w:t>
      </w:r>
    </w:p>
    <w:p w14:paraId="092D6EE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수정 시 원기록의 추적성을 훼손하지 않도록 통제</w:t>
      </w:r>
    </w:p>
    <w:p w14:paraId="2F0535F7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 보존기간 설정</w:t>
      </w:r>
    </w:p>
    <w:p w14:paraId="75F42396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보존기간은 고객별 요구사항, 법규, 계약, 제품수명, 보증기간, 추적성 및 회사의 사업상 필요를 고려하여 기록별로 정한다. 고객/법규가 특정 기간을 요구하면 그 기간을 우선 적용한다.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1A8CC982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06300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기록군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6E0E4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예시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25C1E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보존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결정기준</w:t>
            </w:r>
            <w:proofErr w:type="spellEnd"/>
          </w:p>
        </w:tc>
      </w:tr>
      <w:tr w:rsidR="008E371C" w14:paraId="408412D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1B4D1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제품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검사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69C63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수입·공정·최종검사, 성적서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E6422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법규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제품수명</w:t>
            </w:r>
            <w:proofErr w:type="spellEnd"/>
          </w:p>
        </w:tc>
      </w:tr>
      <w:tr w:rsidR="008E371C" w14:paraId="6F6A6B3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5D4313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추적성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87062F8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LOT, 원자재, 출하이력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919E1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제품안전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</w:p>
        </w:tc>
      </w:tr>
      <w:tr w:rsidR="008E371C" w14:paraId="7CAB9EF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A0D44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4FDA9C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APQP, PPAP, PFMEA, CP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65F6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프로그램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수명</w:t>
            </w:r>
            <w:proofErr w:type="spellEnd"/>
          </w:p>
        </w:tc>
      </w:tr>
      <w:tr w:rsidR="008E371C" w14:paraId="634FB37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EFE75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측정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DF143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보전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교정</w:t>
            </w:r>
            <w:proofErr w:type="spellEnd"/>
            <w:r>
              <w:rPr>
                <w:sz w:val="18"/>
              </w:rPr>
              <w:t>, MSA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17CE3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장비수명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고객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요구</w:t>
            </w:r>
            <w:proofErr w:type="spellEnd"/>
          </w:p>
        </w:tc>
      </w:tr>
      <w:tr w:rsidR="008E371C" w14:paraId="161F44B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A54DC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인력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A67C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자격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FC679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자격</w:t>
            </w:r>
            <w:proofErr w:type="spellEnd"/>
            <w:r>
              <w:rPr>
                <w:sz w:val="18"/>
              </w:rPr>
              <w:t xml:space="preserve"> 및 </w:t>
            </w:r>
            <w:proofErr w:type="spellStart"/>
            <w:r>
              <w:rPr>
                <w:sz w:val="18"/>
              </w:rPr>
              <w:t>법규</w:t>
            </w:r>
            <w:proofErr w:type="spellEnd"/>
          </w:p>
        </w:tc>
      </w:tr>
      <w:tr w:rsidR="008E371C" w14:paraId="31E332E8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9B8B5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심사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경영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3DCCF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내부심사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경영검토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EE092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시스템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증거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필요기간</w:t>
            </w:r>
            <w:proofErr w:type="spellEnd"/>
          </w:p>
        </w:tc>
      </w:tr>
    </w:tbl>
    <w:p w14:paraId="7424B828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5. </w:t>
      </w:r>
      <w:proofErr w:type="spellStart"/>
      <w:r>
        <w:rPr>
          <w:rFonts w:ascii="맑은 고딕" w:eastAsia="맑은 고딕" w:hAnsi="맑은 고딕" w:cs="맑은 고딕"/>
          <w:sz w:val="24"/>
        </w:rPr>
        <w:t>기록의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수정</w:t>
      </w:r>
      <w:proofErr w:type="spellEnd"/>
    </w:p>
    <w:p w14:paraId="3FB9DA7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기록 오류 수정은 원내용을 식별 가능하게 유지하고 수정자와 수정일을 확인할 수 있도록 한다. 전자기록은 변경이력 또는 권한통제를 적용한다.</w:t>
      </w:r>
    </w:p>
    <w:p w14:paraId="57FF759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보관·백업·폐기</w:t>
      </w:r>
    </w:p>
    <w:p w14:paraId="7E4E80E2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종이기록은 손상·습기·분실을 방지하는 장소에 보관하고, 전자기록은 정기 백업과 복구 가능성을 확보한다. 보존기간이 끝난 기록은 기밀성과 고객 요구를 고려한 승인된 방법으로 폐기한다.</w:t>
      </w:r>
    </w:p>
    <w:p w14:paraId="24B3614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7. </w:t>
      </w:r>
      <w:proofErr w:type="spellStart"/>
      <w:r>
        <w:rPr>
          <w:rFonts w:ascii="맑은 고딕" w:eastAsia="맑은 고딕" w:hAnsi="맑은 고딕" w:cs="맑은 고딕"/>
          <w:sz w:val="24"/>
        </w:rPr>
        <w:t>관련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기록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3D7F521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A8A2E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7E99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책임</w:t>
            </w:r>
            <w:proofErr w:type="spellEnd"/>
          </w:p>
        </w:tc>
      </w:tr>
      <w:tr w:rsidR="008E371C" w14:paraId="2820E6F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E3A558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기록 마스터리스트/보존기간표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4AD6D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7240899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48C0E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폐기대장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F1C78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 xml:space="preserve">각 </w:t>
            </w:r>
            <w:proofErr w:type="spellStart"/>
            <w:r>
              <w:rPr>
                <w:sz w:val="18"/>
              </w:rPr>
              <w:t>부서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품질</w:t>
            </w:r>
            <w:proofErr w:type="spellEnd"/>
          </w:p>
        </w:tc>
      </w:tr>
      <w:tr w:rsidR="008E371C" w14:paraId="3A9E260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0EAB78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전자백업 및 복구 확인기록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7906C7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관리</w:t>
            </w:r>
            <w:proofErr w:type="spellEnd"/>
            <w:r>
              <w:rPr>
                <w:sz w:val="18"/>
              </w:rPr>
              <w:t xml:space="preserve">/IT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</w:tr>
    </w:tbl>
    <w:p w14:paraId="2F1F0058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책임과 권한</w:t>
      </w:r>
    </w:p>
    <w:p w14:paraId="535CFEF1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선행품질팀 팀장 / 검토: 품질책임자 / 승인: 대표이사. 주관부서는 본 문서의 운영과 개정을, 검토자는 내용 검토를, 승인권자는 승인과 배포를 책임진다.</w:t>
      </w:r>
    </w:p>
    <w:sectPr w:rsidR="008E371C">
      <w:headerReference w:type="default" r:id="rId12"/>
      <w:footerReference w:type="default" r:id="rId13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A0FE3" w14:textId="77777777" w:rsidR="00063ECA" w:rsidRDefault="00063ECA">
    <w:pPr>
      <w:spacing w:after="0"/>
    </w:pPr>
    <w:r>
      <w:t>(주)신화에이치앤티  |  SH-QP-003  |  문서상태: 개정초안(미승인)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