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
  <Relationship Id="rId1"
    Type="http://schemas.openxmlformats.org/officeDocument/2006/relationships/officeDocument"
    Target="word/document.xml"/>
</Relationships>
</file>

<file path=word/document.xml><?xml version="1.0" encoding="utf-8"?>
<w:document xmlns:w="http://schemas.openxmlformats.org/wordprocessingml/2006/main">
  <w:body>
    <w:p>
      <w:r>
        <w:t>BỘ LUẬT HÌNH SỰ 2015 (sửa đổi 2017)</w:t>
      </w:r>
    </w:p>
    <w:p>
      <w:r>
        <w:t>BỘ LUẬT HÌNH SỰ 2015 (sửa đổi 2017)</w:t>
      </w:r>
    </w:p>
    <w:p>
      <w:r>
        <w:t>Chương XX: CÁC TỘI PHẠM VỀ MA TÚY</w:t>
      </w:r>
    </w:p>
    <w:p>
      <w:r>
        <w:t/>
      </w:r>
    </w:p>
    <w:p>
      <w:r>
        <w:t>Điều 247. Tội sản xuất trái phép chất ma túy</w:t>
      </w:r>
    </w:p>
    <w:p>
      <w:r>
        <w:t>1. Người nào sản xuất trái phép chất ma túy thuộc Danh mục I, bị phạt tù từ 15 năm</w:t>
      </w:r>
    </w:p>
    <w:p>
      <w:r>
        <w:t>đến 20 năm, tù chung thân hoặc tử hình.</w:t>
      </w:r>
    </w:p>
    <w:p>
      <w:r>
        <w:t>2. Trường hợp sản xuất từ 100 gram trở lên, phạt tù từ 20 năm đến tù chung thân</w:t>
      </w:r>
    </w:p>
    <w:p>
      <w:r>
        <w:t>hoặc tử hình.</w:t>
      </w:r>
    </w:p>
    <w:p>
      <w:r>
        <w:t/>
      </w:r>
    </w:p>
    <w:p>
      <w:r>
        <w:t>Điều 248. Tội tàng trữ trái phép chất ma túy</w:t>
      </w:r>
    </w:p>
    <w:p>
      <w:r>
        <w:t>1. Người nào tàng trữ trái phép chất ma túy thuộc Danh mục I, bị phạt tù từ 02 năm</w:t>
      </w:r>
    </w:p>
    <w:p>
      <w:r>
        <w:t>đến 07 năm.</w:t>
      </w:r>
    </w:p>
    <w:p>
      <w:r>
        <w:t>2. Tàng trữ từ 5 gram đến dưới 100 gram, phạt tù từ 07 năm đến 15 năm.</w:t>
      </w:r>
    </w:p>
    <w:p>
      <w:r>
        <w:t>3. Tàng trữ từ 100 gram trở lên, phạt tù từ 15 năm đến 20 năm hoặc tù chung thân.</w:t>
      </w:r>
    </w:p>
    <w:p>
      <w:r>
        <w:t/>
      </w:r>
    </w:p>
    <w:p>
      <w:r>
        <w:t>Điều 249. Tội mua bán trái phép chất ma túy</w:t>
      </w:r>
    </w:p>
    <w:p>
      <w:r>
        <w:t>1. Người nào mua bán trái phép chất ma túy thuộc Danh mục I, bị phạt tù từ 15 năm</w:t>
      </w:r>
    </w:p>
    <w:p>
      <w:r>
        <w:t>đến 20 năm, tù chung thân hoặc tử hình.</w:t>
      </w:r>
    </w:p>
    <w:p>
      <w:r>
        <w:t/>
      </w:r>
    </w:p>
    <w:p>
      <w:r>
        <w:t>Điều 250. Tội vận chuyển trái phép chất ma túy</w:t>
      </w:r>
    </w:p>
    <w:p>
      <w:r>
        <w:t>Người vận chuyển trái phép chất ma túy bị phạt tù từ 07 năm đến 15 năm.</w:t>
      </w:r>
    </w:p>
    <w:p>
      <w:r>
        <w:t/>
      </w:r>
    </w:p>
    <w:p>
      <w:r>
        <w:t>Điều 251. Tội tổ chức, cầm đầu đường dây mua bán trái phép chất ma túy</w:t>
      </w:r>
    </w:p>
    <w:p>
      <w:r>
        <w:t>Phạt tù từ 20 năm đến tù chung thân hoặc tử hình.</w:t>
      </w:r>
    </w:p>
    <w:p>
      <w:r>
        <w:t/>
      </w:r>
    </w:p>
    <w:p>
      <w:r>
        <w:t>Điều 252. Tội sử dụng trái phép chất ma túy</w:t>
      </w:r>
    </w:p>
    <w:p>
      <w:r>
        <w:t>Người sử dụng trái phép chất ma túy bị xử lý hành chính hoặc đưa vào cơ sở cai nghiện.</w:t>
      </w:r>
    </w:p>
    <w:sectPr/>
  </w:body>
</w:document>
</file>