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COUNTRY-LEVEL CO₂ EMISSIONS FORECASTING</w:t>
      </w:r>
    </w:p>
    <w:p>
      <w:pPr>
        <w:jc w:val="center"/>
      </w:pPr>
      <w:r>
        <w:rPr>
          <w:i/>
        </w:rPr>
        <w:t>A CRISP-DM Academic Report</w:t>
      </w:r>
    </w:p>
    <w:p>
      <w:pPr>
        <w:pStyle w:val="Heading1"/>
      </w:pPr>
      <w:r>
        <w:t>1. Introduction</w:t>
      </w:r>
    </w:p>
    <w:p>
      <w:r>
        <w:t>Climate change and the continued growth of greenhouse-gas emissions make reliable monitoring and forecasting of national CO₂ emissions important for environmental planning and policy. CO₂ emissions are closely associated with economic activity, population and energy consumption, making historical country-level data useful for forecasting future emissions.</w:t>
      </w:r>
    </w:p>
    <w:p>
      <w:r>
        <w:t>This project develops a machine-learning forecasting framework for annual country-level CO₂ emissions using the Our World in Data (OWID) CO₂ and Greenhouse Gas Emissions Dataset. The analysis follows the CRISP-DM framework and treats country-year observations as the modelling unit.</w:t>
      </w:r>
    </w:p>
    <w:p>
      <w:r>
        <w:t>The main objective is to determine how accurately historical CO₂ emissions and related economic, demographic and energy variables can predict emissions in the following year. The study also investigates which variables are useful for forecasting and whether more complex machine-learning models improve upon simple time-series approaches.</w:t>
      </w:r>
    </w:p>
    <w:p>
      <w:r>
        <w:t>The project addresses the following research questions: (1) How accurately can historical CO₂ emissions predict future emissions? (2) Which economic, population and energy variables are useful predictors? (3) How do emission trends differ across countries? (4) Which forecasting approach provides the most accurate predictions? and (5) Which countries are expected to experience increasing or decreasing emissions?</w:t>
      </w:r>
    </w:p>
    <w:p>
      <w:r>
        <w:t>The project is motivated by research cited in the notebook, including the IPCC Sixth Assessment Report on drivers of fossil-fuel CO₂ emissions and Costantini et al. (2024), which applied socioeconomic, energy and economic-complexity variables in country-level CO₂ forecasting.</w:t>
      </w:r>
    </w:p>
    <w:p>
      <w:pPr>
        <w:pStyle w:val="Heading1"/>
      </w:pPr>
      <w:r>
        <w:t>2. Methodology</w:t>
      </w:r>
    </w:p>
    <w:p>
      <w:pPr>
        <w:pStyle w:val="Heading2"/>
      </w:pPr>
      <w:r>
        <w:t>2.1 Data</w:t>
      </w:r>
    </w:p>
    <w:p>
      <w:r>
        <w:t>The source dataset contained 50,411 observations and 79 variables. The analysis was restricted to observations from 1950 onward because earlier historical records contained substantially more gaps. The target variable was co2, representing annual CO₂ emissions in million tonnes.</w:t>
      </w:r>
    </w:p>
    <w:p>
      <w:r>
        <w:t>Predictors included temporal, demographic, economic, energy and emissions-source variables. Important variables included population, GDP, GDP per capita, primary energy consumption, energy per capita, coal CO₂, oil CO₂ and gas CO₂.</w:t>
      </w:r>
    </w:p>
    <w:p>
      <w:pPr>
        <w:pStyle w:val="Heading2"/>
      </w:pPr>
      <w:r>
        <w:t>2.2 Data Preparation</w:t>
      </w:r>
    </w:p>
    <w:p>
      <w:r>
        <w:t>The data was sorted chronologically by country and year, duplicate country-year observations were removed, infinite values were replaced with missing values, and countries without CO₂ observations were excluded. Missing values were handled within the modelling preprocessing pipeline using separate numerical and categorical transformations.</w:t>
      </w:r>
    </w:p>
    <w:p>
      <w:r>
        <w:t>Time-series features were engineered to capture historical patterns. These included one-, two- and three-year CO₂ lags; three- and five-year rolling CO₂ averages; lagged GDP, population and energy; calculated GDP per capita and energy per person; and lagged CO₂ growth. The target variable, target_co2, represented CO₂ emissions in the following year.</w:t>
      </w:r>
    </w:p>
    <w:p>
      <w:r>
        <w:t>To prevent temporal leakage, observations were split chronologically rather than randomly. Training data covered years up to 2013 (12,560 observations), validation covered 2014–2018 (1,000 observations), and testing covered 2019–2023 (1,000 observations). 2024 observations were retained for producing 2025 forecasts.</w:t>
      </w:r>
    </w:p>
    <w:p>
      <w:pPr>
        <w:pStyle w:val="Heading2"/>
      </w:pPr>
      <w:r>
        <w:t>2.3 Models and Evaluation</w:t>
      </w:r>
    </w:p>
    <w:p>
      <w:r>
        <w:t>A naive persistence forecast was used as the baseline. Four machine-learning models were then evaluated: Ridge Regression, Random Forest Regressor, Extra Trees Regressor and HistGradientBoosting Regressor.</w:t>
      </w:r>
    </w:p>
    <w:p>
      <w:r>
        <w:t>Models were evaluated using Mean Absolute Error (MAE), Root Mean Squared Error (RMSE) and R². Lower MAE and RMSE indicate smaller prediction errors, while higher R² indicates that the model explains more variation in the target. Validation results were used for model comparison, while the test set was reserved for final assessment.</w:t>
      </w:r>
    </w:p>
    <w:p>
      <w:pPr>
        <w:pStyle w:val="Heading1"/>
      </w:pPr>
      <w:r>
        <w:t>3. Results</w:t>
      </w:r>
    </w:p>
    <w:p>
      <w:pPr>
        <w:pStyle w:val="Heading2"/>
      </w:pPr>
      <w:r>
        <w:t>3.1 Exploratory Findings</w:t>
      </w:r>
    </w:p>
    <w:p>
      <w:r>
        <w:t>The analysis found strong relationships between CO₂ emissions and economic and energy variables. The correlation between CO₂ and primary energy consumption was approximately 0.99, while CO₂ and GDP had a correlation of approximately 0.93. Coal CO₂, oil CO₂ and gas CO₂ also showed strong positive relationships with total CO₂ emissions.</w:t>
      </w:r>
    </w:p>
    <w:p>
      <w:r>
        <w:t>The dataset also contained considerable missingness in several variables, including GDP, gas CO₂, coal CO₂, flaring CO₂ and primary energy consumption. This reinforced the importance of using a structured preprocessing pipeline.</w:t>
      </w:r>
    </w:p>
    <w:p>
      <w:pPr>
        <w:pStyle w:val="Heading2"/>
      </w:pPr>
      <w:r>
        <w:t>3.2 Model Performance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Val. MAE</w:t>
            </w:r>
          </w:p>
        </w:tc>
        <w:tc>
          <w:tcPr>
            <w:tcW w:type="dxa" w:w="2016"/>
          </w:tcPr>
          <w:p>
            <w:r>
              <w:t>Val. RMSE</w:t>
            </w:r>
          </w:p>
        </w:tc>
        <w:tc>
          <w:tcPr>
            <w:tcW w:type="dxa" w:w="2016"/>
          </w:tcPr>
          <w:p>
            <w:r>
              <w:t>Test MAE</w:t>
            </w:r>
          </w:p>
        </w:tc>
        <w:tc>
          <w:tcPr>
            <w:tcW w:type="dxa" w:w="2016"/>
          </w:tcPr>
          <w:p>
            <w:r>
              <w:t>Test RMSE</w:t>
            </w:r>
          </w:p>
        </w:tc>
      </w:tr>
      <w:tr>
        <w:tc>
          <w:tcPr>
            <w:tcW w:type="dxa" w:w="2016"/>
          </w:tcPr>
          <w:p>
            <w:r>
              <w:t>Naive persistence</w:t>
            </w:r>
          </w:p>
        </w:tc>
        <w:tc>
          <w:tcPr>
            <w:tcW w:type="dxa" w:w="2016"/>
          </w:tcPr>
          <w:p>
            <w:r>
              <w:t>5.469</w:t>
            </w:r>
          </w:p>
        </w:tc>
        <w:tc>
          <w:tcPr>
            <w:tcW w:type="dxa" w:w="2016"/>
          </w:tcPr>
          <w:p>
            <w:r>
              <w:t>23.611</w:t>
            </w:r>
          </w:p>
        </w:tc>
        <w:tc>
          <w:tcPr>
            <w:tcW w:type="dxa" w:w="2016"/>
          </w:tcPr>
          <w:p>
            <w:r>
              <w:t>7.859</w:t>
            </w:r>
          </w:p>
        </w:tc>
        <w:tc>
          <w:tcPr>
            <w:tcW w:type="dxa" w:w="2016"/>
          </w:tcPr>
          <w:p>
            <w:r>
              <w:t>36.559</w:t>
            </w:r>
          </w:p>
        </w:tc>
      </w:tr>
      <w:tr>
        <w:tc>
          <w:tcPr>
            <w:tcW w:type="dxa" w:w="2016"/>
          </w:tcPr>
          <w:p>
            <w:r>
              <w:t>Ridge</w:t>
            </w:r>
          </w:p>
        </w:tc>
        <w:tc>
          <w:tcPr>
            <w:tcW w:type="dxa" w:w="2016"/>
          </w:tcPr>
          <w:p>
            <w:r>
              <w:t>6.860</w:t>
            </w:r>
          </w:p>
        </w:tc>
        <w:tc>
          <w:tcPr>
            <w:tcW w:type="dxa" w:w="2016"/>
          </w:tcPr>
          <w:p>
            <w:r>
              <w:t>32.359</w:t>
            </w:r>
          </w:p>
        </w:tc>
        <w:tc>
          <w:tcPr>
            <w:tcW w:type="dxa" w:w="2016"/>
          </w:tcPr>
          <w:p>
            <w:r>
              <w:t>8.437</w:t>
            </w:r>
          </w:p>
        </w:tc>
        <w:tc>
          <w:tcPr>
            <w:tcW w:type="dxa" w:w="2016"/>
          </w:tcPr>
          <w:p>
            <w:r>
              <w:t>31.391</w:t>
            </w:r>
          </w:p>
        </w:tc>
      </w:tr>
      <w:tr>
        <w:tc>
          <w:tcPr>
            <w:tcW w:type="dxa" w:w="2016"/>
          </w:tcPr>
          <w:p>
            <w:r>
              <w:t>Random Forest</w:t>
            </w:r>
          </w:p>
        </w:tc>
        <w:tc>
          <w:tcPr>
            <w:tcW w:type="dxa" w:w="2016"/>
          </w:tcPr>
          <w:p>
            <w:r>
              <w:t>9.119</w:t>
            </w:r>
          </w:p>
        </w:tc>
        <w:tc>
          <w:tcPr>
            <w:tcW w:type="dxa" w:w="2016"/>
          </w:tcPr>
          <w:p>
            <w:r>
              <w:t>47.381</w:t>
            </w:r>
          </w:p>
        </w:tc>
        <w:tc>
          <w:tcPr>
            <w:tcW w:type="dxa" w:w="2016"/>
          </w:tcPr>
          <w:p>
            <w:r>
              <w:t>22.135</w:t>
            </w:r>
          </w:p>
        </w:tc>
        <w:tc>
          <w:tcPr>
            <w:tcW w:type="dxa" w:w="2016"/>
          </w:tcPr>
          <w:p>
            <w:r>
              <w:t>176.637</w:t>
            </w:r>
          </w:p>
        </w:tc>
      </w:tr>
      <w:tr>
        <w:tc>
          <w:tcPr>
            <w:tcW w:type="dxa" w:w="2016"/>
          </w:tcPr>
          <w:p>
            <w:r>
              <w:t>Extra Trees</w:t>
            </w:r>
          </w:p>
        </w:tc>
        <w:tc>
          <w:tcPr>
            <w:tcW w:type="dxa" w:w="2016"/>
          </w:tcPr>
          <w:p>
            <w:r>
              <w:t>7.972</w:t>
            </w:r>
          </w:p>
        </w:tc>
        <w:tc>
          <w:tcPr>
            <w:tcW w:type="dxa" w:w="2016"/>
          </w:tcPr>
          <w:p>
            <w:r>
              <w:t>36.091</w:t>
            </w:r>
          </w:p>
        </w:tc>
        <w:tc>
          <w:tcPr>
            <w:tcW w:type="dxa" w:w="2016"/>
          </w:tcPr>
          <w:p>
            <w:r>
              <w:t>19.576</w:t>
            </w:r>
          </w:p>
        </w:tc>
        <w:tc>
          <w:tcPr>
            <w:tcW w:type="dxa" w:w="2016"/>
          </w:tcPr>
          <w:p>
            <w:r>
              <w:t>151.926</w:t>
            </w:r>
          </w:p>
        </w:tc>
      </w:tr>
      <w:tr>
        <w:tc>
          <w:tcPr>
            <w:tcW w:type="dxa" w:w="2016"/>
          </w:tcPr>
          <w:p>
            <w:r>
              <w:t>HistGradientBoosting</w:t>
            </w:r>
          </w:p>
        </w:tc>
        <w:tc>
          <w:tcPr>
            <w:tcW w:type="dxa" w:w="2016"/>
          </w:tcPr>
          <w:p>
            <w:r>
              <w:t>25.343</w:t>
            </w:r>
          </w:p>
        </w:tc>
        <w:tc>
          <w:tcPr>
            <w:tcW w:type="dxa" w:w="2016"/>
          </w:tcPr>
          <w:p>
            <w:r>
              <w:t>202.663</w:t>
            </w:r>
          </w:p>
        </w:tc>
        <w:tc>
          <w:tcPr>
            <w:tcW w:type="dxa" w:w="2016"/>
          </w:tcPr>
          <w:p>
            <w:r>
              <w:t>39.456</w:t>
            </w:r>
          </w:p>
        </w:tc>
        <w:tc>
          <w:tcPr>
            <w:tcW w:type="dxa" w:w="2016"/>
          </w:tcPr>
          <w:p>
            <w:r>
              <w:t>325.848</w:t>
            </w:r>
          </w:p>
        </w:tc>
      </w:tr>
    </w:tbl>
    <w:p>
      <w:r>
        <w:t>The naive persistence model achieved the lowest validation MAE and RMSE, demonstrating that recent CO₂ emissions are highly predictive of next-year emissions. Ridge Regression was also highly competitive and achieved a test RMSE of 31.391, lower than the persistence model's 36.559.</w:t>
      </w:r>
    </w:p>
    <w:p>
      <w:r>
        <w:t>The ensemble models performed less effectively on the later test period. Random Forest achieved a test MAE of 22.135 and RMSE of 176.637, while Extra Trees achieved a test MAE of 19.576 and RMSE of 151.926. HistGradientBoosting had the weakest overall performance, with a test MAE of 39.456 and RMSE of 325.848.</w:t>
      </w:r>
    </w:p>
    <w:p>
      <w:r>
        <w:t>The high R² values should be interpreted with caution because annual CO₂ emissions exhibit strong temporal persistence. A high R² therefore does not necessarily imply that the model has identified causal relationships.</w:t>
      </w:r>
    </w:p>
    <w:p>
      <w:pPr>
        <w:pStyle w:val="Heading2"/>
      </w:pPr>
      <w:r>
        <w:t>3.3 Forecast Output</w:t>
      </w:r>
    </w:p>
    <w:p>
      <w:r>
        <w:t>The completed forecasting pipeline used 2024 observations to generate 2025 country-level predictions. Forecasts were produced for 200 countries, with the output containing the observed 2024 CO₂ value and predictions from the candidate models. This provides a practical basis for comparing expected emissions across countries.</w:t>
      </w:r>
    </w:p>
    <w:p>
      <w:pPr>
        <w:pStyle w:val="Heading1"/>
      </w:pPr>
      <w:r>
        <w:t>4. Recommendations</w:t>
      </w:r>
    </w:p>
    <w:p>
      <w:pPr>
        <w:pStyle w:val="ListNumber"/>
      </w:pPr>
      <w:r>
        <w:t>Use naive persistence as the minimum benchmark for future CO₂ forecasting because historical emissions are highly predictive.</w:t>
      </w:r>
    </w:p>
    <w:p>
      <w:pPr>
        <w:pStyle w:val="ListNumber"/>
      </w:pPr>
      <w:r>
        <w:t>Retain lagged CO₂, rolling averages and growth features because they capture the temporal structure of emissions.</w:t>
      </w:r>
    </w:p>
    <w:p>
      <w:pPr>
        <w:pStyle w:val="ListNumber"/>
      </w:pPr>
      <w:r>
        <w:t>Continue using economic and energy variables, particularly GDP and primary energy consumption, as important predictors.</w:t>
      </w:r>
    </w:p>
    <w:p>
      <w:pPr>
        <w:pStyle w:val="ListNumber"/>
      </w:pPr>
      <w:r>
        <w:t>Use chronological train-validation-test splitting in future experiments to prevent temporal leakage.</w:t>
      </w:r>
    </w:p>
    <w:p>
      <w:pPr>
        <w:pStyle w:val="ListNumber"/>
      </w:pPr>
      <w:r>
        <w:t>Investigate country-specific or grouped forecasting models where sufficient historical observations are available.</w:t>
      </w:r>
    </w:p>
    <w:p>
      <w:pPr>
        <w:pStyle w:val="ListNumber"/>
      </w:pPr>
      <w:r>
        <w:t>Assess forecasting performance separately for large and small emitters because absolute-error metrics can be dominated by countries with very high emissions.</w:t>
      </w:r>
    </w:p>
    <w:p>
      <w:pPr>
        <w:pStyle w:val="ListNumber"/>
      </w:pPr>
      <w:r>
        <w:t>Consider scaled or percentage-based error measures alongside MAE and RMSE for cross-country comparisons.</w:t>
      </w:r>
    </w:p>
    <w:p>
      <w:pPr>
        <w:pStyle w:val="ListNumber"/>
      </w:pPr>
      <w:r>
        <w:t>Investigate cases where complex models perform substantially worse than the persistence baseline before increasing model complexity.</w:t>
      </w:r>
    </w:p>
    <w:p>
      <w:pPr>
        <w:pStyle w:val="ListNumber"/>
      </w:pPr>
      <w:r>
        <w:t>For longer-term forecasts, evaluate each forecasting horizon separately because uncertainty increases as the prediction horizon expands.</w:t>
      </w:r>
    </w:p>
    <w:p>
      <w:pPr>
        <w:pStyle w:val="Heading1"/>
      </w:pPr>
      <w:r>
        <w:t>5. Conclusion</w:t>
      </w:r>
    </w:p>
    <w:p>
      <w:r>
        <w:t>This study applied the CRISP-DM framework to country-level CO₂ emissions forecasting. The process involved defining the forecasting problem, understanding the OWID dataset, cleaning and preparing the data, engineering time-series features, developing multiple forecasting models and evaluating their performance using chronological validation.</w:t>
      </w:r>
    </w:p>
    <w:p>
      <w:r>
        <w:t>The results show that historical CO₂ emissions contain substantial information about subsequent emissions. The naive persistence model provided the strongest validation benchmark, while Ridge Regression provided a competitive and interpretable machine-learning approach. The more complex tree-based models did not improve upon these simpler methods on the reported test results.</w:t>
      </w:r>
    </w:p>
    <w:p>
      <w:r>
        <w:t>The forecasting pipeline successfully generated 2025 predictions for 200 countries. Overall, the findings suggest that reliable CO₂ forecasting depends not only on model complexity but also on appropriate temporal feature engineering, careful data preparation, prevention of leakage and rigorous time-based evaluation.</w:t>
      </w:r>
    </w:p>
    <w:p>
      <w:pPr>
        <w:pStyle w:val="Heading1"/>
      </w:pPr>
      <w:r>
        <w:t>References</w:t>
      </w:r>
    </w:p>
    <w:p>
      <w:r>
        <w:t>Costantini, V., et al. (2024). Country-level CO₂ emissions forecasting using socioeconomic, energy and economic-complexity indicators. Scientific Reports.</w:t>
      </w:r>
    </w:p>
    <w:p>
      <w:r>
        <w:t>Intergovernmental Panel on Climate Change (IPCC). Sixth Assessment Report.</w:t>
      </w:r>
    </w:p>
    <w:p>
      <w:r>
        <w:t>Our World in Data. CO₂ and Greenhouse Gas Emissions Dataset.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