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line="276"/>
        <w:jc w:val="both"/>
      </w:pPr>
      <w:r>
        <w:rPr>
          <w:rFonts w:ascii="Arial" w:cs="Arial" w:eastAsia="Arial" w:hAnsi="Arial"/>
          <w:b/>
          <w:bCs/>
          <w:i w:val="false"/>
          <w:iCs w:val="false"/>
          <w:color w:val="1F3864"/>
          <w:sz w:val="32"/>
          <w:szCs w:val="32"/>
        </w:rPr>
        <w:t xml:space="preserve">El Salvador: Fiscal Diagnostic and Vulnerability Assessment, 1957</w:t>
      </w:r>
    </w:p>
    <w:p>
      <w:pPr>
        <w:spacing w:after="300" w:before="0" w:line="276"/>
        <w:jc w:val="both"/>
      </w:pPr>
      <w:r>
        <w:rPr>
          <w:rFonts w:ascii="Arial" w:cs="Arial" w:eastAsia="Arial" w:hAnsi="Arial"/>
          <w:b w:val="false"/>
          <w:bCs w:val="false"/>
          <w:i/>
          <w:iCs/>
          <w:color w:val="555555"/>
          <w:sz w:val="22"/>
          <w:szCs w:val="22"/>
        </w:rPr>
        <w:t xml:space="preserve">Technical Note — Preliminary Assessment Based on Primary Fiscal Data</w:t>
      </w:r>
    </w:p>
    <w:p>
      <w:pPr>
        <w:pStyle w:val="Heading2"/>
        <w:spacing w:after="160" w:before="300" w:line="276"/>
        <w:jc w:val="both"/>
      </w:pPr>
      <w:r>
        <w:rPr>
          <w:rFonts w:ascii="Arial" w:cs="Arial" w:eastAsia="Arial" w:hAnsi="Arial"/>
          <w:b/>
          <w:bCs/>
          <w:i w:val="false"/>
          <w:iCs w:val="false"/>
          <w:color w:val="2E5090"/>
          <w:sz w:val="28"/>
          <w:szCs w:val="28"/>
        </w:rPr>
        <w:t xml:space="preserve">Executive Summary</w:t>
      </w:r>
    </w:p>
    <w:p>
      <w:pPr>
        <w:spacing w:after="160" w:before="0" w:line="276"/>
        <w:jc w:val="both"/>
      </w:pPr>
      <w:r>
        <w:rPr>
          <w:rFonts w:ascii="Arial" w:cs="Arial" w:eastAsia="Arial" w:hAnsi="Arial"/>
          <w:b w:val="false"/>
          <w:bCs w:val="false"/>
          <w:i w:val="false"/>
          <w:iCs w:val="false"/>
          <w:color w:val="333333"/>
          <w:sz w:val="22"/>
          <w:szCs w:val="22"/>
        </w:rPr>
        <w:t xml:space="preserve">This note presents a fiscal diagnostic for El Salvador covering fiscal year 1957, the first full year of the Lemus administration. It builds on the diagnostic series covering 1952–1956. The analysis draws on the Informe Complementario Constitucional (Parts A–C) and applies standard fiscal assessment frameworks.</w:t>
      </w:r>
    </w:p>
    <w:p>
      <w:pPr>
        <w:spacing w:after="160" w:before="0" w:line="276"/>
        <w:jc w:val="both"/>
      </w:pPr>
      <w:r>
        <w:rPr>
          <w:rFonts w:ascii="Arial" w:cs="Arial" w:eastAsia="Arial" w:hAnsi="Arial"/>
          <w:b/>
          <w:bCs/>
          <w:i w:val="false"/>
          <w:iCs w:val="false"/>
          <w:color w:val="333333"/>
          <w:sz w:val="22"/>
          <w:szCs w:val="22"/>
        </w:rPr>
        <w:t xml:space="preserve">Key findings:</w:t>
      </w:r>
    </w:p>
    <w:p>
      <w:pPr>
        <w:spacing w:after="100" w:line="260"/>
        <w:ind w:left="360"/>
        <w:jc w:val="both"/>
      </w:pPr>
      <w:r>
        <w:rPr>
          <w:rFonts w:ascii="Arial" w:cs="Arial" w:eastAsia="Arial" w:hAnsi="Arial"/>
          <w:b w:val="false"/>
          <w:bCs w:val="false"/>
          <w:i w:val="false"/>
          <w:iCs w:val="false"/>
          <w:color w:val="333333"/>
          <w:sz w:val="22"/>
          <w:szCs w:val="22"/>
        </w:rPr>
        <w:t xml:space="preserve">The fiscal position is assessed as </w:t>
      </w:r>
      <w:r>
        <w:rPr>
          <w:rFonts w:ascii="Arial" w:cs="Arial" w:eastAsia="Arial" w:hAnsi="Arial"/>
          <w:b/>
          <w:bCs/>
          <w:i w:val="false"/>
          <w:iCs w:val="false"/>
          <w:color w:val="333333"/>
          <w:sz w:val="22"/>
          <w:szCs w:val="22"/>
        </w:rPr>
        <w:t xml:space="preserve">“moderate debt, low stress, high vulnerability.”</w:t>
      </w:r>
      <w:r>
        <w:rPr>
          <w:rFonts w:ascii="Arial" w:cs="Arial" w:eastAsia="Arial" w:hAnsi="Arial"/>
          <w:b w:val="false"/>
          <w:bCs w:val="false"/>
          <w:i w:val="false"/>
          <w:iCs w:val="false"/>
          <w:color w:val="333333"/>
          <w:sz w:val="22"/>
          <w:szCs w:val="22"/>
        </w:rPr>
        <w:t xml:space="preserve"> Revenue reached a new peak (₡189.5M), the Superavit Financiero grew to ₡45.7M, and debt service remained low (2.3% of expenditure). But the debt stock accelerated to ₡42.6M (+30.6%), and the revenue base remained dangerously concentrated in trade taxes.</w:t>
      </w:r>
    </w:p>
    <w:p>
      <w:pPr>
        <w:spacing w:after="100" w:line="260"/>
        <w:ind w:left="360"/>
        <w:jc w:val="both"/>
      </w:pPr>
      <w:r>
        <w:rPr>
          <w:rFonts w:ascii="Arial" w:cs="Arial" w:eastAsia="Arial" w:hAnsi="Arial"/>
          <w:b w:val="false"/>
          <w:bCs w:val="false"/>
          <w:i w:val="false"/>
          <w:iCs w:val="false"/>
          <w:color w:val="333333"/>
          <w:sz w:val="22"/>
          <w:szCs w:val="22"/>
        </w:rPr>
        <w:t xml:space="preserve">The income tax surged to </w:t>
      </w:r>
      <w:r>
        <w:rPr>
          <w:rFonts w:ascii="Arial" w:cs="Arial" w:eastAsia="Arial" w:hAnsi="Arial"/>
          <w:b/>
          <w:bCs/>
          <w:i w:val="false"/>
          <w:iCs w:val="false"/>
          <w:color w:val="333333"/>
          <w:sz w:val="22"/>
          <w:szCs w:val="22"/>
        </w:rPr>
        <w:t xml:space="preserve">9.2% of revenue</w:t>
      </w:r>
      <w:r>
        <w:rPr>
          <w:rFonts w:ascii="Arial" w:cs="Arial" w:eastAsia="Arial" w:hAnsi="Arial"/>
          <w:b w:val="false"/>
          <w:bCs w:val="false"/>
          <w:i w:val="false"/>
          <w:iCs w:val="false"/>
          <w:color w:val="333333"/>
          <w:sz w:val="22"/>
          <w:szCs w:val="22"/>
        </w:rPr>
        <w:t xml:space="preserve"> — more than doubling from the 4.1% biennial average. If sustained, this represents the most significant revenue diversification development in the series.</w:t>
      </w:r>
    </w:p>
    <w:p>
      <w:pPr>
        <w:spacing w:after="100" w:line="260"/>
        <w:ind w:left="360"/>
        <w:jc w:val="both"/>
      </w:pPr>
      <w:r>
        <w:rPr>
          <w:rFonts w:ascii="Arial" w:cs="Arial" w:eastAsia="Arial" w:hAnsi="Arial"/>
          <w:b w:val="false"/>
          <w:bCs w:val="false"/>
          <w:i w:val="false"/>
          <w:iCs w:val="false"/>
          <w:color w:val="333333"/>
          <w:sz w:val="22"/>
          <w:szCs w:val="22"/>
        </w:rPr>
        <w:t xml:space="preserve">Debt acceleration became a trend: total debt rose from ₡23.9M (end-1955) to ₡42.6M (end-1957) — a </w:t>
      </w:r>
      <w:r>
        <w:rPr>
          <w:rFonts w:ascii="Arial" w:cs="Arial" w:eastAsia="Arial" w:hAnsi="Arial"/>
          <w:b/>
          <w:bCs/>
          <w:i w:val="false"/>
          <w:iCs w:val="false"/>
          <w:color w:val="333333"/>
          <w:sz w:val="22"/>
          <w:szCs w:val="22"/>
        </w:rPr>
        <w:t xml:space="preserve">78% increase in two years</w:t>
      </w:r>
      <w:r>
        <w:rPr>
          <w:rFonts w:ascii="Arial" w:cs="Arial" w:eastAsia="Arial" w:hAnsi="Arial"/>
          <w:b w:val="false"/>
          <w:bCs w:val="false"/>
          <w:i w:val="false"/>
          <w:iCs w:val="false"/>
          <w:color w:val="333333"/>
          <w:sz w:val="22"/>
          <w:szCs w:val="22"/>
        </w:rPr>
        <w:t xml:space="preserve">, driven by the IBRD Carretera del Litoral loan which doubled to ₡21.3M and surpassed the 1922 loan as the largest instrument.</w:t>
      </w:r>
    </w:p>
    <w:p>
      <w:pPr>
        <w:spacing w:after="100" w:line="260"/>
        <w:ind w:left="360"/>
        <w:jc w:val="both"/>
      </w:pPr>
      <w:r>
        <w:rPr>
          <w:rFonts w:ascii="Arial" w:cs="Arial" w:eastAsia="Arial" w:hAnsi="Arial"/>
          <w:b w:val="false"/>
          <w:bCs w:val="false"/>
          <w:i w:val="false"/>
          <w:iCs w:val="false"/>
          <w:color w:val="333333"/>
          <w:sz w:val="22"/>
          <w:szCs w:val="22"/>
        </w:rPr>
        <w:t xml:space="preserve">The 1922 Empréstito Nacional declined to ₡9.96M (23.4% of total debt, down from 62% in 1953), 35 years after contraction. Still requiring ₡2M/year in service.</w:t>
      </w:r>
    </w:p>
    <w:p>
      <w:pPr>
        <w:spacing w:after="100" w:line="260"/>
        <w:ind w:left="360"/>
        <w:jc w:val="both"/>
      </w:pPr>
      <w:r>
        <w:rPr>
          <w:rFonts w:ascii="Arial" w:cs="Arial" w:eastAsia="Arial" w:hAnsi="Arial"/>
          <w:b/>
          <w:bCs/>
          <w:i w:val="false"/>
          <w:iCs w:val="false"/>
          <w:color w:val="CC0000"/>
          <w:sz w:val="22"/>
          <w:szCs w:val="22"/>
        </w:rPr>
        <w:t xml:space="preserve">⚠ The Estado No. 5 (detailed expenditure by organizational unit) is missing. Expenditure rigidity and personnel footprint analyses are limited to summary data.</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1. Fiscal Accounts Summary</w:t>
      </w:r>
    </w:p>
    <w:p>
      <w:pPr>
        <w:pStyle w:val="Heading3"/>
        <w:spacing w:after="120" w:before="240" w:line="276"/>
        <w:jc w:val="both"/>
      </w:pPr>
      <w:r>
        <w:rPr>
          <w:rFonts w:ascii="Arial" w:cs="Arial" w:eastAsia="Arial" w:hAnsi="Arial"/>
          <w:b/>
          <w:bCs/>
          <w:i w:val="false"/>
          <w:iCs w:val="false"/>
          <w:color w:val="404040"/>
          <w:sz w:val="24"/>
          <w:szCs w:val="24"/>
        </w:rPr>
        <w:t xml:space="preserve">1.1 Overall Fiscal Position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165.0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189.5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169.0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Surplus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Surplus as % of Revenue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(end-yr)</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Authorized Allocations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186.3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Utilization Rate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90.7%</w:t>
            </w:r>
          </w:p>
        </w:tc>
      </w:tr>
    </w:tbl>
    <w:p>
      <w:pPr>
        <w:spacing w:after="200" w:before="40" w:line="276"/>
        <w:jc w:val="both"/>
      </w:pPr>
      <w:r>
        <w:rPr>
          <w:rFonts w:ascii="Arial" w:cs="Arial" w:eastAsia="Arial" w:hAnsi="Arial"/>
          <w:b w:val="false"/>
          <w:bCs w:val="false"/>
          <w:i/>
          <w:iCs/>
          <w:color w:val="333333"/>
          <w:sz w:val="16"/>
          <w:szCs w:val="16"/>
        </w:rPr>
        <w:t xml:space="preserve">Source: MH 1955–1956; MH 1957.</w:t>
      </w:r>
    </w:p>
    <w:p>
      <w:pPr>
        <w:spacing w:after="160" w:before="0" w:line="276"/>
        <w:jc w:val="both"/>
      </w:pPr>
      <w:r>
        <w:rPr>
          <w:rFonts w:ascii="Arial" w:cs="Arial" w:eastAsia="Arial" w:hAnsi="Arial"/>
          <w:b w:val="false"/>
          <w:bCs w:val="false"/>
          <w:i w:val="false"/>
          <w:iCs w:val="false"/>
          <w:color w:val="333333"/>
          <w:sz w:val="22"/>
          <w:szCs w:val="22"/>
        </w:rPr>
        <w:t xml:space="preserve">The headline surplus widened to ₡20.5M (10.8% of revenue), the highest ratio since 1954. The Superavit Financiero grew to ₡45.7M. The combination of record revenue and controlled expenditure growth produced the strongest fiscal flow position in the series. However, the off-budget debt accumulation (IBRD) continued to be masked by the General Fund surplus.</w:t>
      </w:r>
    </w:p>
    <w:p>
      <w:pPr>
        <w:pStyle w:val="Heading3"/>
        <w:spacing w:after="120" w:before="240" w:line="276"/>
        <w:jc w:val="both"/>
      </w:pPr>
      <w:r>
        <w:rPr>
          <w:rFonts w:ascii="Arial" w:cs="Arial" w:eastAsia="Arial" w:hAnsi="Arial"/>
          <w:b/>
          <w:bCs/>
          <w:i w:val="false"/>
          <w:iCs w:val="false"/>
          <w:color w:val="404040"/>
          <w:sz w:val="24"/>
          <w:szCs w:val="24"/>
        </w:rPr>
        <w:t xml:space="preserve">1.2 Revenue Performance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165.0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189.5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YoY Growth</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+10.9%</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91.7%</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 duties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54.6</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r>
    </w:tbl>
    <w:p>
      <w:pPr>
        <w:pStyle w:val="Heading3"/>
        <w:spacing w:after="120" w:before="240" w:line="276"/>
        <w:jc w:val="both"/>
      </w:pPr>
      <w:r>
        <w:rPr>
          <w:rFonts w:ascii="Arial" w:cs="Arial" w:eastAsia="Arial" w:hAnsi="Arial"/>
          <w:b/>
          <w:bCs/>
          <w:i w:val="false"/>
          <w:iCs w:val="false"/>
          <w:color w:val="404040"/>
          <w:sz w:val="24"/>
          <w:szCs w:val="24"/>
        </w:rPr>
        <w:t xml:space="preserve">1.3 Expenditure Performance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Expenditure 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169.0</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Growth over prior year</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Operación / Total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58.7%</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Capital /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Total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r>
    </w:tbl>
    <w:p>
      <w:pPr>
        <w:spacing w:after="200" w:before="40" w:line="276"/>
        <w:jc w:val="both"/>
      </w:pPr>
      <w:r>
        <w:rPr>
          <w:rFonts w:ascii="Arial" w:cs="Arial" w:eastAsia="Arial" w:hAnsi="Arial"/>
          <w:b w:val="false"/>
          <w:bCs w:val="false"/>
          <w:i/>
          <w:iCs/>
          <w:color w:val="333333"/>
          <w:sz w:val="16"/>
          <w:szCs w:val="16"/>
        </w:rPr>
        <w:t xml:space="preserve">Source: MH 1957 Part A. Note: 1957 uses new 6-division classification.</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2. Structural Revenue Analysis</w:t>
      </w:r>
    </w:p>
    <w:p>
      <w:pPr>
        <w:pStyle w:val="Heading3"/>
        <w:spacing w:after="120" w:before="240" w:line="276"/>
        <w:jc w:val="both"/>
      </w:pPr>
      <w:r>
        <w:rPr>
          <w:rFonts w:ascii="Arial" w:cs="Arial" w:eastAsia="Arial" w:hAnsi="Arial"/>
          <w:b/>
          <w:bCs/>
          <w:i w:val="false"/>
          <w:iCs w:val="false"/>
          <w:color w:val="404040"/>
          <w:sz w:val="24"/>
          <w:szCs w:val="24"/>
        </w:rPr>
        <w:t xml:space="preserve">2.1 Revenue Concentration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21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Source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 Share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 Share</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 Share</w:t>
            </w:r>
          </w:p>
        </w:tc>
        <w:tc>
          <w:tcPr>
            <w:tcW w:type="dxa" w:w="2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 duties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 (coffee)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31.1%</w:t>
            </w:r>
          </w:p>
        </w:tc>
        <w:tc>
          <w:tcPr>
            <w:tcW w:type="dxa" w:w="2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VERY HIGH</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Consumption taxes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16.9%</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2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IMPROVING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Trade-dependent share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c>
          <w:tcPr>
            <w:tcW w:type="dxa" w:w="2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STILL CRITICAL</w:t>
            </w:r>
          </w:p>
        </w:tc>
      </w:tr>
    </w:tbl>
    <w:p>
      <w:pPr>
        <w:spacing w:after="160" w:before="0" w:line="276"/>
        <w:jc w:val="both"/>
      </w:pPr>
      <w:r>
        <w:rPr>
          <w:rFonts w:ascii="Arial" w:cs="Arial" w:eastAsia="Arial" w:hAnsi="Arial"/>
          <w:b w:val="false"/>
          <w:bCs w:val="false"/>
          <w:i w:val="false"/>
          <w:iCs w:val="false"/>
          <w:color w:val="333333"/>
          <w:sz w:val="22"/>
          <w:szCs w:val="22"/>
        </w:rPr>
        <w:t xml:space="preserve">The income tax improvement to 9.2% is the most positive structural signal in the series. If the direct tax base continues expanding, it could begin to reduce trade dependence — the single most important vulnerability. However, the combined import + export duty share at 67.1% of Impuestos remains dangerously high. One good year does not make a structural shift.</w:t>
      </w:r>
    </w:p>
    <w:p>
      <w:pPr>
        <w:pStyle w:val="Heading3"/>
        <w:spacing w:after="120" w:before="240" w:line="276"/>
        <w:jc w:val="both"/>
      </w:pPr>
      <w:r>
        <w:rPr>
          <w:rFonts w:ascii="Arial" w:cs="Arial" w:eastAsia="Arial" w:hAnsi="Arial"/>
          <w:b/>
          <w:bCs/>
          <w:i w:val="false"/>
          <w:iCs w:val="false"/>
          <w:color w:val="404040"/>
          <w:sz w:val="24"/>
          <w:szCs w:val="24"/>
        </w:rPr>
        <w:t xml:space="preserve">2.2 Revenue Buoyancy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Growth</w:t>
            </w:r>
          </w:p>
        </w:tc>
        <w:tc>
          <w:tcPr>
            <w:tcW w:type="dxa" w:w="4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1953–1954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Coffee price peak</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1954–1955</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FIRST DECLINE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1955–1956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Modest recovery</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1956–1957</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+10.9%</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Strong recovery — new peak</w:t>
            </w:r>
          </w:p>
        </w:tc>
      </w:tr>
    </w:tbl>
    <w:p>
      <w:pPr>
        <w:spacing w:after="200" w:before="40" w:line="276"/>
        <w:jc w:val="both"/>
      </w:pPr>
      <w:r>
        <w:rPr>
          <w:rFonts w:ascii="Arial" w:cs="Arial" w:eastAsia="Arial" w:hAnsi="Arial"/>
          <w:b w:val="false"/>
          <w:bCs w:val="false"/>
          <w:i/>
          <w:iCs/>
          <w:color w:val="333333"/>
          <w:sz w:val="16"/>
          <w:szCs w:val="16"/>
        </w:rPr>
        <w:t xml:space="preserve">[DATA GAP: GDP series still needed for formal buoyancy coefficients.]</w:t>
      </w:r>
    </w:p>
    <w:p>
      <w:pPr>
        <w:spacing w:after="160" w:before="0" w:line="276"/>
        <w:jc w:val="both"/>
      </w:pPr>
      <w:r>
        <w:rPr>
          <w:rFonts w:ascii="Arial" w:cs="Arial" w:eastAsia="Arial" w:hAnsi="Arial"/>
          <w:b w:val="false"/>
          <w:bCs w:val="false"/>
          <w:i w:val="false"/>
          <w:iCs w:val="false"/>
          <w:color w:val="333333"/>
          <w:sz w:val="22"/>
          <w:szCs w:val="22"/>
        </w:rPr>
        <w:t xml:space="preserve">The 1957 recovery was broad-based: import duties up, export duties up, consumption taxes up, and the income tax surge. This suggests both improving external conditions (coffee prices recovering) and domestic economic expansion. Revenue buoyancy appears high, but the underlying volatility remains — the 1955 decline demonstrated how quickly the trajectory can reverse.</w:t>
      </w:r>
    </w:p>
    <w:p>
      <w:pPr>
        <w:pStyle w:val="Heading3"/>
        <w:spacing w:after="120" w:before="240" w:line="276"/>
        <w:jc w:val="both"/>
      </w:pPr>
      <w:r>
        <w:rPr>
          <w:rFonts w:ascii="Arial" w:cs="Arial" w:eastAsia="Arial" w:hAnsi="Arial"/>
          <w:b/>
          <w:bCs/>
          <w:i w:val="false"/>
          <w:iCs w:val="false"/>
          <w:color w:val="404040"/>
          <w:sz w:val="24"/>
          <w:szCs w:val="24"/>
        </w:rPr>
        <w:t xml:space="preserve">2.3 Tax Effort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Benchmark</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 GDP</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10–15%</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 Taxes / Total Tax</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15–25%</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 Total Revenue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5–10%</w:t>
            </w:r>
          </w:p>
        </w:tc>
      </w:tr>
    </w:tbl>
    <w:p>
      <w:pPr>
        <w:spacing w:after="160" w:before="0" w:line="276"/>
        <w:jc w:val="both"/>
      </w:pPr>
      <w:r>
        <w:rPr>
          <w:rFonts w:ascii="Arial" w:cs="Arial" w:eastAsia="Arial" w:hAnsi="Arial"/>
          <w:b w:val="false"/>
          <w:bCs w:val="false"/>
          <w:i w:val="false"/>
          <w:iCs w:val="false"/>
          <w:color w:val="333333"/>
          <w:sz w:val="22"/>
          <w:szCs w:val="22"/>
        </w:rPr>
        <w:t xml:space="preserve">The income tax’s 9.2% share places it at the upper end of the benchmark range for comparable low-income economies in the 1950s. This is a notable achievement — but it needs to be sustained over multiple years and ideally extended through reform of the corporate rate structure that Pleites identified as the binding constraint.</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3. Expenditure Rigidity Analysis</w:t>
      </w:r>
    </w:p>
    <w:p>
      <w:pPr>
        <w:pStyle w:val="Heading3"/>
        <w:spacing w:after="120" w:before="240" w:line="276"/>
        <w:jc w:val="both"/>
      </w:pPr>
      <w:r>
        <w:rPr>
          <w:rFonts w:ascii="Arial" w:cs="Arial" w:eastAsia="Arial" w:hAnsi="Arial"/>
          <w:b/>
          <w:bCs/>
          <w:i w:val="false"/>
          <w:iCs w:val="false"/>
          <w:color w:val="404040"/>
          <w:sz w:val="24"/>
          <w:szCs w:val="24"/>
        </w:rPr>
        <w:t xml:space="preserve">3.1 Wage Bill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 expenditure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&gt;50%</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 revenue</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41.8%</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44.1%</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42.6%</w:t>
            </w:r>
          </w:p>
        </w:tc>
        <w:tc>
          <w:tcPr>
            <w:tcW w:type="dxa" w:w="1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&gt;45%</w:t>
            </w:r>
          </w:p>
        </w:tc>
      </w:tr>
    </w:tbl>
    <w:p>
      <w:pPr>
        <w:spacing w:after="160" w:before="0" w:line="276"/>
        <w:jc w:val="both"/>
      </w:pPr>
      <w:r>
        <w:rPr>
          <w:rFonts w:ascii="Arial" w:cs="Arial" w:eastAsia="Arial" w:hAnsi="Arial"/>
          <w:b w:val="false"/>
          <w:bCs w:val="false"/>
          <w:i w:val="false"/>
          <w:iCs w:val="false"/>
          <w:color w:val="333333"/>
          <w:sz w:val="22"/>
          <w:szCs w:val="22"/>
        </w:rPr>
        <w:t xml:space="preserve">The wage bill declined slightly to 47.7% — the lowest in the series. The revenue-based ratio improved to 42.6% (from 44.1%), reflecting the strong revenue performance. Both indicators remain below alert thresholds, but the improvement is fragile: it depends on revenue continuing to grow faster than the payroll, which in turn depends on coffee prices.</w:t>
      </w:r>
    </w:p>
    <w:p>
      <w:pPr>
        <w:pStyle w:val="Heading3"/>
        <w:spacing w:after="120" w:before="240" w:line="276"/>
        <w:jc w:val="both"/>
      </w:pPr>
      <w:r>
        <w:rPr>
          <w:rFonts w:ascii="Arial" w:cs="Arial" w:eastAsia="Arial" w:hAnsi="Arial"/>
          <w:b/>
          <w:bCs/>
          <w:i w:val="false"/>
          <w:iCs w:val="false"/>
          <w:color w:val="404040"/>
          <w:sz w:val="24"/>
          <w:szCs w:val="24"/>
        </w:rPr>
        <w:t xml:space="preserve">3.2 Flexibility Index</w:t>
      </w:r>
    </w:p>
    <w:tbl>
      <w:tblPr>
        <w:tblW w:type="dxa" w:w="735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25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 (%)</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 (%)</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 (%)</w:t>
            </w:r>
          </w:p>
        </w:tc>
        <w:tc>
          <w:tcPr>
            <w:tcW w:type="dxa" w:w="12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Flexibility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Operación (personnel + ops)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52.8%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58.7%*</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Subsidies &amp; transfers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19.9%</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SEMI-RIGID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Capital (equipo + propiedad)</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12.3%</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Clases Pasivas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15.7%</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Rigid + semi-rigid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~81%</w:t>
            </w:r>
          </w:p>
        </w:tc>
        <w:tc>
          <w:tcPr>
            <w:tcW w:type="dxa" w:w="12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Flexible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125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bl>
    <w:p>
      <w:pPr>
        <w:spacing w:after="200" w:before="40" w:line="276"/>
        <w:jc w:val="both"/>
      </w:pPr>
      <w:r>
        <w:rPr>
          <w:rFonts w:ascii="Arial" w:cs="Arial" w:eastAsia="Arial" w:hAnsi="Arial"/>
          <w:b w:val="false"/>
          <w:bCs w:val="false"/>
          <w:i/>
          <w:iCs/>
          <w:color w:val="333333"/>
          <w:sz w:val="16"/>
          <w:szCs w:val="16"/>
        </w:rPr>
        <w:t xml:space="preserve">*Gastos de Operación includes personnel, non-personal services, materials, and gratificaciones under the new classification. Direct comparison with prior years requires caution due to reclassification.</w:t>
      </w:r>
    </w:p>
    <w:p>
      <w:pPr>
        <w:spacing w:after="160" w:before="0" w:line="276"/>
        <w:jc w:val="both"/>
      </w:pPr>
      <w:r>
        <w:rPr>
          <w:rFonts w:ascii="Arial" w:cs="Arial" w:eastAsia="Arial" w:hAnsi="Arial"/>
          <w:b w:val="false"/>
          <w:bCs w:val="false"/>
          <w:i w:val="false"/>
          <w:iCs w:val="false"/>
          <w:color w:val="333333"/>
          <w:sz w:val="22"/>
          <w:szCs w:val="22"/>
        </w:rPr>
        <w:t xml:space="preserve">The apparent increase in rigidity to ~81% may partly reflect the new 6-division classification, which groups more items under Gastos de Operación. However, the underlying reality persists: approximately </w:t>
      </w:r>
      <w:r>
        <w:rPr>
          <w:rFonts w:ascii="Arial" w:cs="Arial" w:eastAsia="Arial" w:hAnsi="Arial"/>
          <w:b/>
          <w:bCs/>
          <w:i w:val="false"/>
          <w:iCs w:val="false"/>
          <w:color w:val="333333"/>
          <w:sz w:val="22"/>
          <w:szCs w:val="22"/>
        </w:rPr>
        <w:t xml:space="preserve">three-quarters to four-fifths of the budget is non-discretionary</w:t>
      </w:r>
      <w:r>
        <w:rPr>
          <w:rFonts w:ascii="Arial" w:cs="Arial" w:eastAsia="Arial" w:hAnsi="Arial"/>
          <w:b w:val="false"/>
          <w:bCs w:val="false"/>
          <w:i w:val="false"/>
          <w:iCs w:val="false"/>
          <w:color w:val="333333"/>
          <w:sz w:val="22"/>
          <w:szCs w:val="22"/>
        </w:rPr>
        <w:t xml:space="preserve"> in the short term, leaving the government with very limited room for fiscal adjustment in a downturn.</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4. Debt Sustainability Analysis</w:t>
      </w:r>
    </w:p>
    <w:p>
      <w:pPr>
        <w:pStyle w:val="Heading3"/>
        <w:spacing w:after="120" w:before="240" w:line="276"/>
        <w:jc w:val="both"/>
      </w:pPr>
      <w:r>
        <w:rPr>
          <w:rFonts w:ascii="Arial" w:cs="Arial" w:eastAsia="Arial" w:hAnsi="Arial"/>
          <w:b/>
          <w:bCs/>
          <w:i w:val="false"/>
          <w:iCs w:val="false"/>
          <w:color w:val="404040"/>
          <w:sz w:val="24"/>
          <w:szCs w:val="24"/>
        </w:rPr>
        <w:t xml:space="preserve">4.1 Debt Stock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End-1954</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End-1955</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End-1956</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End-1957</w:t>
            </w:r>
          </w:p>
        </w:tc>
        <w:tc>
          <w:tcPr>
            <w:tcW w:type="dxa" w:w="1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~26.0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~23.9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42.6</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accelerating</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External Debt (₡M)</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13.8</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30.7</w:t>
            </w:r>
          </w:p>
        </w:tc>
        <w:tc>
          <w:tcPr>
            <w:tcW w:type="dxa" w:w="1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accelerating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Debt (₡M)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 Revenue</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19.1%</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22.5%</w:t>
            </w:r>
          </w:p>
        </w:tc>
        <w:tc>
          <w:tcPr>
            <w:tcW w:type="dxa" w:w="1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rising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External / Total Debt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re-externalized</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 Total Debt</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23.4%</w:t>
            </w:r>
          </w:p>
        </w:tc>
        <w:tc>
          <w:tcPr>
            <w:tcW w:type="dxa" w:w="1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diluted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IBRD Loan / Total Debt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dominant</w:t>
            </w:r>
          </w:p>
        </w:tc>
      </w:tr>
    </w:tbl>
    <w:p>
      <w:pPr>
        <w:spacing w:after="160" w:before="0" w:line="276"/>
        <w:jc w:val="both"/>
      </w:pPr>
      <w:r>
        <w:rPr>
          <w:rFonts w:ascii="Arial" w:cs="Arial" w:eastAsia="Arial" w:hAnsi="Arial"/>
          <w:b w:val="false"/>
          <w:bCs w:val="false"/>
          <w:i w:val="false"/>
          <w:iCs w:val="false"/>
          <w:color w:val="333333"/>
          <w:sz w:val="22"/>
          <w:szCs w:val="22"/>
        </w:rPr>
        <w:t xml:space="preserve">The debt trajectory continued to accelerate. Total debt rose 30.6% in 1957, following a 36% rise in 1956. The debt-to-revenue ratio climbed to 22.5% — still well below distress thresholds but moving rapidly in the wrong direction. The IBRD loan now represented </w:t>
      </w:r>
      <w:r>
        <w:rPr>
          <w:rFonts w:ascii="Arial" w:cs="Arial" w:eastAsia="Arial" w:hAnsi="Arial"/>
          <w:b/>
          <w:bCs/>
          <w:i w:val="false"/>
          <w:iCs w:val="false"/>
          <w:color w:val="333333"/>
          <w:sz w:val="22"/>
          <w:szCs w:val="22"/>
        </w:rPr>
        <w:t xml:space="preserve">half of all public debt</w:t>
      </w:r>
      <w:r>
        <w:rPr>
          <w:rFonts w:ascii="Arial" w:cs="Arial" w:eastAsia="Arial" w:hAnsi="Arial"/>
          <w:b w:val="false"/>
          <w:bCs w:val="false"/>
          <w:i w:val="false"/>
          <w:iCs w:val="false"/>
          <w:color w:val="333333"/>
          <w:sz w:val="22"/>
          <w:szCs w:val="22"/>
        </w:rPr>
        <w:t xml:space="preserve">, a dramatic concentration in a single instrument.</w:t>
      </w:r>
    </w:p>
    <w:p>
      <w:pPr>
        <w:pStyle w:val="Heading3"/>
        <w:spacing w:after="120" w:before="240" w:line="276"/>
        <w:jc w:val="both"/>
      </w:pPr>
      <w:r>
        <w:rPr>
          <w:rFonts w:ascii="Arial" w:cs="Arial" w:eastAsia="Arial" w:hAnsi="Arial"/>
          <w:b/>
          <w:bCs/>
          <w:i w:val="false"/>
          <w:iCs w:val="false"/>
          <w:color w:val="404040"/>
          <w:sz w:val="24"/>
          <w:szCs w:val="24"/>
        </w:rPr>
        <w:t xml:space="preserve">4.2 Debt Service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3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&gt;15%</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Revenue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&gt;20%</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 debt service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bl>
    <w:p>
      <w:pPr>
        <w:spacing w:after="200" w:before="40" w:line="276"/>
        <w:jc w:val="both"/>
      </w:pPr>
      <w:r>
        <w:rPr>
          <w:rFonts w:ascii="Arial" w:cs="Arial" w:eastAsia="Arial" w:hAnsi="Arial"/>
          <w:b w:val="false"/>
          <w:bCs w:val="false"/>
          <w:i/>
          <w:iCs/>
          <w:color w:val="333333"/>
          <w:sz w:val="16"/>
          <w:szCs w:val="16"/>
        </w:rPr>
        <w:t xml:space="preserve">*The 2.3% figure from the General Fund may not capture full service including off-budget funds. The ₡2M annual transfer for the 1922 loan and IBRD interest are partially reflected in other fund accounts.</w:t>
      </w:r>
    </w:p>
    <w:p>
      <w:pPr>
        <w:spacing w:after="160" w:before="0" w:line="276"/>
        <w:jc w:val="both"/>
      </w:pPr>
      <w:r>
        <w:rPr>
          <w:rFonts w:ascii="Arial" w:cs="Arial" w:eastAsia="Arial" w:hAnsi="Arial"/>
          <w:b w:val="false"/>
          <w:bCs w:val="false"/>
          <w:i w:val="false"/>
          <w:iCs w:val="false"/>
          <w:color w:val="333333"/>
          <w:sz w:val="22"/>
          <w:szCs w:val="22"/>
        </w:rPr>
        <w:t xml:space="preserve">The apparent decline in the debt service ratio to 2.3% is misleading. The General Fund’s debt service line (₡3.8M) may not capture the full cost of the IBRD loan service (which was growing as the stock doubled) or the ₡2M annual transfer to the BCR for the 1922 loan. A consolidated debt service figure — incorporating all fund accounts — would likely be higher. This is a measurement issue, not a sustainability improvement.</w:t>
      </w:r>
    </w:p>
    <w:p>
      <w:pPr>
        <w:pStyle w:val="Heading3"/>
        <w:spacing w:after="120" w:before="240" w:line="276"/>
        <w:jc w:val="both"/>
      </w:pPr>
      <w:r>
        <w:rPr>
          <w:rFonts w:ascii="Arial" w:cs="Arial" w:eastAsia="Arial" w:hAnsi="Arial"/>
          <w:b/>
          <w:bCs/>
          <w:i w:val="false"/>
          <w:iCs w:val="false"/>
          <w:color w:val="404040"/>
          <w:sz w:val="24"/>
          <w:szCs w:val="24"/>
        </w:rPr>
        <w:t xml:space="preserve">4.3 Fiscal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 (1957)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3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Available Space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₡21.5M additional service*</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revenue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3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₡34.1M additional service*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 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₡71.1M additional debt</w:t>
            </w:r>
          </w:p>
        </w:tc>
      </w:tr>
    </w:tbl>
    <w:p>
      <w:pPr>
        <w:spacing w:after="200" w:before="40" w:line="276"/>
        <w:jc w:val="both"/>
      </w:pPr>
      <w:r>
        <w:rPr>
          <w:rFonts w:ascii="Arial" w:cs="Arial" w:eastAsia="Arial" w:hAnsi="Arial"/>
          <w:b w:val="false"/>
          <w:bCs w:val="false"/>
          <w:i/>
          <w:iCs/>
          <w:color w:val="333333"/>
          <w:sz w:val="16"/>
          <w:szCs w:val="16"/>
        </w:rPr>
        <w:t xml:space="preserve">*Assumes new borrowing at 5% interest with 15-year amortization. Caution: service ratio may understate true burden.</w:t>
      </w:r>
    </w:p>
    <w:p>
      <w:pPr>
        <w:spacing w:after="160" w:before="0" w:line="276"/>
        <w:jc w:val="both"/>
      </w:pPr>
      <w:r>
        <w:rPr>
          <w:rFonts w:ascii="Arial" w:cs="Arial" w:eastAsia="Arial" w:hAnsi="Arial"/>
          <w:b w:val="false"/>
          <w:bCs w:val="false"/>
          <w:i w:val="false"/>
          <w:iCs w:val="false"/>
          <w:color w:val="333333"/>
          <w:sz w:val="22"/>
          <w:szCs w:val="22"/>
        </w:rPr>
        <w:t xml:space="preserve">By conventional metrics, fiscal space remained substantial. But the </w:t>
      </w:r>
      <w:r>
        <w:rPr>
          <w:rFonts w:ascii="Arial" w:cs="Arial" w:eastAsia="Arial" w:hAnsi="Arial"/>
          <w:b/>
          <w:bCs/>
          <w:i w:val="false"/>
          <w:iCs w:val="false"/>
          <w:color w:val="333333"/>
          <w:sz w:val="22"/>
          <w:szCs w:val="22"/>
        </w:rPr>
        <w:t xml:space="preserve">rate of consumption</w:t>
      </w:r>
      <w:r>
        <w:rPr>
          <w:rFonts w:ascii="Arial" w:cs="Arial" w:eastAsia="Arial" w:hAnsi="Arial"/>
          <w:b w:val="false"/>
          <w:bCs w:val="false"/>
          <w:i w:val="false"/>
          <w:iCs w:val="false"/>
          <w:color w:val="333333"/>
          <w:sz w:val="22"/>
          <w:szCs w:val="22"/>
        </w:rPr>
        <w:t xml:space="preserve"> was accelerating: ₡19M in new debt added in two years, with the IBRD loan still disbursing. If the current pace continued, the debt-to-revenue ratio would reach 40% by the early 1960s — well above the government’s historical comfort zone.</w:t>
      </w:r>
    </w:p>
    <w:p>
      <w:pPr>
        <w:pStyle w:val="Heading3"/>
        <w:spacing w:after="120" w:before="240" w:line="276"/>
        <w:jc w:val="both"/>
      </w:pPr>
      <w:r>
        <w:rPr>
          <w:rFonts w:ascii="Arial" w:cs="Arial" w:eastAsia="Arial" w:hAnsi="Arial"/>
          <w:b/>
          <w:bCs/>
          <w:i w:val="false"/>
          <w:iCs w:val="false"/>
          <w:color w:val="404040"/>
          <w:sz w:val="24"/>
          <w:szCs w:val="24"/>
        </w:rPr>
        <w:t xml:space="preserve">4.4 The 1922 Loan: 35 Years</w:t>
      </w:r>
    </w:p>
    <w:p>
      <w:pPr>
        <w:spacing w:after="160" w:before="0" w:line="276"/>
        <w:jc w:val="both"/>
      </w:pPr>
      <w:r>
        <w:rPr>
          <w:rFonts w:ascii="Arial" w:cs="Arial" w:eastAsia="Arial" w:hAnsi="Arial"/>
          <w:b w:val="false"/>
          <w:bCs w:val="false"/>
          <w:i w:val="false"/>
          <w:iCs w:val="false"/>
          <w:color w:val="333333"/>
          <w:sz w:val="22"/>
          <w:szCs w:val="22"/>
        </w:rPr>
        <w:t xml:space="preserve">Outstanding: ₡9,962,114.60 (23.4% of total debt). Still serviced through ₡2M/year BCR transfer. Multi-currency bonds (dollars at 4%, 3½%, 3%; sterling at 3%). Holdout creditors from 1933/1936 restructuring remain on the books. For the first time, the 1922 loan was no longer the largest single instrument — surpassed by the IBRD Carretera del Litoral.</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5. Vulnerability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200"/>
        <w:gridCol w:w="28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Factor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Probability</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Trend</w:t>
            </w:r>
          </w:p>
        </w:tc>
        <w:tc>
          <w:tcPr>
            <w:tcW w:type="dxa" w:w="2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Coffee price shock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cyclical</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None; no stabilization fund</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concentration</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STRUCTURAL</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persistent</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Income tax improved but fragile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rigidity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Slightly below 48%</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accumulation</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accelerating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IBRD disbursements continuing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Off-budget commitments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rising</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IBRD + Valle drawing down</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persistence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declining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Being retired; no longer dominant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Exchange rate risk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Fixed parity at ₡2.50/US$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Liquidity</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improving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Superávit at record ₡45.7M</w:t>
            </w:r>
          </w:p>
        </w:tc>
      </w:tr>
    </w:tbl>
    <w:p>
      <w:r>
        <w:br w:type="page"/>
      </w:r>
    </w:p>
    <w:p>
      <w:pPr>
        <w:pStyle w:val="Heading2"/>
        <w:spacing w:after="160" w:before="300" w:line="276"/>
        <w:jc w:val="both"/>
      </w:pPr>
      <w:r>
        <w:rPr>
          <w:rFonts w:ascii="Arial" w:cs="Arial" w:eastAsia="Arial" w:hAnsi="Arial"/>
          <w:b/>
          <w:bCs/>
          <w:i w:val="false"/>
          <w:iCs w:val="false"/>
          <w:color w:val="2E5090"/>
          <w:sz w:val="28"/>
          <w:szCs w:val="28"/>
        </w:rPr>
        <w:t xml:space="preserve">6. Dashboard</w:t>
      </w:r>
    </w:p>
    <w:p>
      <w:pPr>
        <w:spacing w:after="80" w:before="0" w:line="276"/>
        <w:jc w:val="both"/>
      </w:pPr>
      <w:r>
        <w:rPr>
          <w:rFonts w:ascii="Arial" w:cs="Arial" w:eastAsia="Arial" w:hAnsi="Arial"/>
          <w:b/>
          <w:bCs/>
          <w:i w:val="false"/>
          <w:iCs w:val="false"/>
          <w:color w:val="333333"/>
          <w:sz w:val="18"/>
          <w:szCs w:val="18"/>
        </w:rPr>
        <w:t xml:space="preserve">Summary Table — Fiscal Health Indicators, 1957</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96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growth (YoY)</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+10.9%</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 tax dependence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~67%</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share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Tax concentration (Impuestos/total)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91.7%</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EXPENDITURE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growth</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 total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48.3%</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Budget rigidity</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~81%*</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FISCAL BALANCE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balance / 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+10.8%</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DEBT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 revenue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19.1%</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22.5%</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debt trajectory</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RISING</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ACCELERATING</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IBRD loan / total debt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50.0%</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 total debt</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23.4%</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STRUCTURAL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Revenue-to-GDP</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NO DATA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detail (Estado 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available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MISSING</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bl>
    <w:p>
      <w:pPr>
        <w:spacing w:after="200" w:before="40" w:line="276"/>
        <w:jc w:val="both"/>
      </w:pPr>
      <w:r>
        <w:rPr>
          <w:rFonts w:ascii="Arial" w:cs="Arial" w:eastAsia="Arial" w:hAnsi="Arial"/>
          <w:b w:val="false"/>
          <w:bCs w:val="false"/>
          <w:i/>
          <w:iCs/>
          <w:color w:val="333333"/>
          <w:sz w:val="16"/>
          <w:szCs w:val="16"/>
        </w:rPr>
        <w:t xml:space="preserve">*Rigidity increase may partly reflect reclassification to 6-division structure.</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7. Assessment</w:t>
      </w:r>
    </w:p>
    <w:p>
      <w:pPr>
        <w:spacing w:after="160" w:before="0" w:line="276"/>
        <w:jc w:val="both"/>
      </w:pPr>
      <w:r>
        <w:rPr>
          <w:rFonts w:ascii="Arial" w:cs="Arial" w:eastAsia="Arial" w:hAnsi="Arial"/>
          <w:b/>
          <w:bCs/>
          <w:i w:val="false"/>
          <w:iCs w:val="false"/>
          <w:color w:val="333333"/>
          <w:sz w:val="22"/>
          <w:szCs w:val="22"/>
        </w:rPr>
        <w:t xml:space="preserve">Overall: </w:t>
      </w:r>
      <w:r>
        <w:rPr>
          <w:rFonts w:ascii="Arial" w:cs="Arial" w:eastAsia="Arial" w:hAnsi="Arial"/>
          <w:b w:val="false"/>
          <w:bCs w:val="false"/>
          <w:i w:val="false"/>
          <w:iCs w:val="false"/>
          <w:color w:val="333333"/>
          <w:sz w:val="22"/>
          <w:szCs w:val="22"/>
        </w:rPr>
        <w:t xml:space="preserve">The fiscal position is assessed as </w:t>
      </w:r>
      <w:r>
        <w:rPr>
          <w:rFonts w:ascii="Arial" w:cs="Arial" w:eastAsia="Arial" w:hAnsi="Arial"/>
          <w:b/>
          <w:bCs/>
          <w:i w:val="false"/>
          <w:iCs w:val="false"/>
          <w:color w:val="333333"/>
          <w:sz w:val="22"/>
          <w:szCs w:val="22"/>
        </w:rPr>
        <w:t xml:space="preserve">“moderate debt, low stress, high vulnerability.”</w:t>
      </w:r>
      <w:r>
        <w:rPr>
          <w:rFonts w:ascii="Arial" w:cs="Arial" w:eastAsia="Arial" w:hAnsi="Arial"/>
          <w:b w:val="false"/>
          <w:bCs w:val="false"/>
          <w:i w:val="false"/>
          <w:iCs w:val="false"/>
          <w:color w:val="333333"/>
          <w:sz w:val="22"/>
          <w:szCs w:val="22"/>
        </w:rPr>
        <w:t xml:space="preserve"> This represents a shift from the 1955–1956 assessment of “moderate debt, moderate stress, high vulnerability” — the stress level declined because revenue surged to a new peak, the surplus widened, and the Superavit Financiero grew. But vulnerability remained high because the revenue base stayed concentrated and the debt stock was accelerating.</w:t>
      </w:r>
    </w:p>
    <w:p>
      <w:pPr>
        <w:spacing w:after="160" w:before="0" w:line="276"/>
        <w:jc w:val="both"/>
      </w:pPr>
      <w:r>
        <w:rPr>
          <w:rFonts w:ascii="Arial" w:cs="Arial" w:eastAsia="Arial" w:hAnsi="Arial"/>
          <w:b/>
          <w:bCs/>
          <w:i w:val="false"/>
          <w:iCs w:val="false"/>
          <w:color w:val="333333"/>
          <w:sz w:val="22"/>
          <w:szCs w:val="22"/>
        </w:rPr>
        <w:t xml:space="preserve">The most important development was the income tax’s surge to 9.2% of revenue. </w:t>
      </w:r>
      <w:r>
        <w:rPr>
          <w:rFonts w:ascii="Arial" w:cs="Arial" w:eastAsia="Arial" w:hAnsi="Arial"/>
          <w:b w:val="false"/>
          <w:bCs w:val="false"/>
          <w:i w:val="false"/>
          <w:iCs w:val="false"/>
          <w:color w:val="333333"/>
          <w:sz w:val="22"/>
          <w:szCs w:val="22"/>
        </w:rPr>
        <w:t xml:space="preserve">If this reflects a durable expansion of the tax base rather than a one-time administrative or economic effect, it could begin to address the structural vulnerability that every prior diagnostic has identified. However, the constraints documented by Pleites (5% corporate rate, coffee grower exemption) remain in place. A true structural shift would require legislative reform of Decreto 510 and/or the expiration of the Decreto 836 exemption — neither of which was on the political agenda in 1957.</w:t>
      </w:r>
    </w:p>
    <w:p>
      <w:pPr>
        <w:spacing w:after="160" w:before="0" w:line="276"/>
        <w:jc w:val="both"/>
      </w:pPr>
      <w:r>
        <w:rPr>
          <w:rFonts w:ascii="Arial" w:cs="Arial" w:eastAsia="Arial" w:hAnsi="Arial"/>
          <w:b/>
          <w:bCs/>
          <w:i w:val="false"/>
          <w:iCs w:val="false"/>
          <w:color w:val="333333"/>
          <w:sz w:val="22"/>
          <w:szCs w:val="22"/>
        </w:rPr>
        <w:t xml:space="preserve">The debt acceleration is the principal medium-term risk. </w:t>
      </w:r>
      <w:r>
        <w:rPr>
          <w:rFonts w:ascii="Arial" w:cs="Arial" w:eastAsia="Arial" w:hAnsi="Arial"/>
          <w:b w:val="false"/>
          <w:bCs w:val="false"/>
          <w:i w:val="false"/>
          <w:iCs w:val="false"/>
          <w:color w:val="333333"/>
          <w:sz w:val="22"/>
          <w:szCs w:val="22"/>
        </w:rPr>
        <w:t xml:space="preserve">Total debt rose 78% in two years (end-1955 to end-1957). The IBRD Carretera del Litoral loan now represents half of all public debt — a dangerous concentration in a single instrument, even if it finances productive infrastructure. If coffee prices decline significantly — as they would under the Lemus administration — the government will face the intersection of falling revenue, rigid expenditure, and rising debt service that the prior diagnostics identified as the central vulnerability of the MISI fiscal model.</w:t>
      </w:r>
    </w:p>
    <w:p>
      <w:pPr>
        <w:spacing w:after="160" w:before="0" w:line="276"/>
        <w:jc w:val="both"/>
      </w:pPr>
      <w:r>
        <w:rPr>
          <w:rFonts w:ascii="Arial" w:cs="Arial" w:eastAsia="Arial" w:hAnsi="Arial"/>
          <w:b/>
          <w:bCs/>
          <w:i w:val="false"/>
          <w:iCs w:val="false"/>
          <w:color w:val="333333"/>
          <w:sz w:val="22"/>
          <w:szCs w:val="22"/>
        </w:rPr>
        <w:t xml:space="preserve">Data gap: </w:t>
      </w:r>
      <w:r>
        <w:rPr>
          <w:rFonts w:ascii="Arial" w:cs="Arial" w:eastAsia="Arial" w:hAnsi="Arial"/>
          <w:b w:val="false"/>
          <w:bCs w:val="false"/>
          <w:i/>
          <w:iCs/>
          <w:color w:val="333333"/>
          <w:sz w:val="22"/>
          <w:szCs w:val="22"/>
        </w:rPr>
        <w:t xml:space="preserve">The missing Estado No. 5 prevents full expenditure analysis. When obtained from the Archives, this note should be updated with the personnel footprint, consolidated security spending, and functional allocation tables. The expenditure rigidity analysis is preliminary and should be treated with caution due to the reclassification to the 6-division structure.</w:t>
      </w:r>
    </w:p>
    <w:p>
      <w:pPr>
        <w:spacing w:before="4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Sources: </w:t>
      </w:r>
      <w:r>
        <w:rPr>
          <w:rFonts w:ascii="Arial" w:cs="Arial" w:eastAsia="Arial" w:hAnsi="Arial"/>
          <w:b w:val="false"/>
          <w:bCs w:val="false"/>
          <w:i/>
          <w:iCs/>
          <w:color w:val="333333"/>
          <w:sz w:val="18"/>
          <w:szCs w:val="18"/>
        </w:rPr>
        <w:t xml:space="preserve">Ministerio de Hacienda, Gobierno de El Salvador. Informe Complementario Constitucional, Ejercicio Fiscal de 1957. Analytical framework follows IMF Fiscal Transparency Code (2019), IMF DSA-LIC framework, and standard PFM diagnostic methodology.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Fiscal Diagnostic 1957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2026-03-31T17:38:56.123Z</dcterms:created>
  <dcterms:modified xsi:type="dcterms:W3CDTF">2026-03-31T17:38:56.124Z</dcterms:modified>
</cp:coreProperties>
</file>

<file path=docProps/custom.xml><?xml version="1.0" encoding="utf-8"?>
<Properties xmlns="http://schemas.openxmlformats.org/officeDocument/2006/custom-properties" xmlns:vt="http://schemas.openxmlformats.org/officeDocument/2006/docPropsVTypes"/>
</file>