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before="0" w:line="276"/>
        <w:jc w:val="center"/>
      </w:pPr>
      <w:r>
        <w:rPr>
          <w:rFonts w:ascii="Arial" w:cs="Arial" w:eastAsia="Arial" w:hAnsi="Arial"/>
          <w:b/>
          <w:bCs/>
          <w:i w:val="false"/>
          <w:iCs w:val="false"/>
          <w:color w:val="1F3864"/>
          <w:sz w:val="36"/>
          <w:szCs w:val="36"/>
        </w:rPr>
        <w:t xml:space="preserve">El Salvador: Fiscal Year 1957</w:t>
      </w:r>
    </w:p>
    <w:p>
      <w:pPr>
        <w:spacing w:after="300" w:before="0" w:line="276"/>
        <w:jc w:val="center"/>
      </w:pPr>
      <w:r>
        <w:rPr>
          <w:rFonts w:ascii="Arial" w:cs="Arial" w:eastAsia="Arial" w:hAnsi="Arial"/>
          <w:b w:val="false"/>
          <w:bCs w:val="false"/>
          <w:i/>
          <w:iCs/>
          <w:color w:val="555555"/>
          <w:sz w:val="24"/>
          <w:szCs w:val="24"/>
        </w:rPr>
        <w:t xml:space="preserve">Evidence from the Informe Complementario Constitucional</w:t>
      </w:r>
    </w:p>
    <w:p>
      <w:pPr>
        <w:spacing w:after="200" w:before="0" w:line="276"/>
        <w:jc w:val="center"/>
      </w:pPr>
      <w:r>
        <w:rPr>
          <w:rFonts w:ascii="Arial" w:cs="Arial" w:eastAsia="Arial" w:hAnsi="Arial"/>
          <w:b w:val="false"/>
          <w:bCs w:val="false"/>
          <w:i w:val="false"/>
          <w:iCs w:val="false"/>
          <w:color w:val="777777"/>
          <w:sz w:val="22"/>
          <w:szCs w:val="22"/>
        </w:rPr>
        <w:t xml:space="preserve">Working Note — Based on Primary Sources</w:t>
      </w:r>
    </w:p>
    <w:p>
      <w:pPr>
        <w:spacing w:after="100" w:before="0" w:line="276"/>
        <w:jc w:val="center"/>
      </w:pPr>
      <w:r>
        <w:rPr>
          <w:rFonts w:ascii="Arial" w:cs="Arial" w:eastAsia="Arial" w:hAnsi="Arial"/>
          <w:b w:val="false"/>
          <w:bCs w:val="false"/>
          <w:i/>
          <w:iCs/>
          <w:color w:val="777777"/>
          <w:sz w:val="20"/>
          <w:szCs w:val="20"/>
        </w:rPr>
        <w:t xml:space="preserve">Ministerio de Hacienda, Gobierno de El Salvador</w:t>
      </w:r>
    </w:p>
    <w:p>
      <w:pPr>
        <w:spacing w:after="160" w:before="0" w:line="276"/>
        <w:jc w:val="center"/>
      </w:pPr>
      <w:r>
        <w:rPr>
          <w:rFonts w:ascii="Arial" w:cs="Arial" w:eastAsia="Arial" w:hAnsi="Arial"/>
          <w:b w:val="false"/>
          <w:bCs w:val="false"/>
          <w:i w:val="false"/>
          <w:iCs w:val="false"/>
          <w:color w:val="777777"/>
          <w:sz w:val="22"/>
          <w:szCs w:val="22"/>
        </w:rPr>
        <w:t xml:space="preserve">March 2026</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Political Context</w:t>
      </w:r>
    </w:p>
    <w:p>
      <w:pPr>
        <w:spacing w:after="160" w:before="0" w:line="276"/>
        <w:jc w:val="both"/>
      </w:pPr>
      <w:r>
        <w:rPr>
          <w:rFonts w:ascii="Arial" w:cs="Arial" w:eastAsia="Arial" w:hAnsi="Arial"/>
          <w:b w:val="false"/>
          <w:bCs w:val="false"/>
          <w:i w:val="false"/>
          <w:iCs w:val="false"/>
          <w:color w:val="333333"/>
          <w:sz w:val="22"/>
          <w:szCs w:val="22"/>
        </w:rPr>
        <w:t xml:space="preserve">President: Colonel José María Lemus (1956–1960), PRUD. First full fiscal year of the Lemus administration. Minister of Finance: </w:t>
      </w:r>
      <w:r>
        <w:rPr>
          <w:rFonts w:ascii="Arial" w:cs="Arial" w:eastAsia="Arial" w:hAnsi="Arial"/>
          <w:b/>
          <w:bCs/>
          <w:i w:val="false"/>
          <w:iCs w:val="false"/>
          <w:color w:val="333333"/>
          <w:sz w:val="22"/>
          <w:szCs w:val="22"/>
        </w:rPr>
        <w:t xml:space="preserve">Humberto Costa</w:t>
      </w:r>
      <w:r>
        <w:rPr>
          <w:rFonts w:ascii="Arial" w:cs="Arial" w:eastAsia="Arial" w:hAnsi="Arial"/>
          <w:b w:val="false"/>
          <w:bCs w:val="false"/>
          <w:i w:val="false"/>
          <w:iCs w:val="false"/>
          <w:color w:val="333333"/>
          <w:sz w:val="22"/>
          <w:szCs w:val="22"/>
        </w:rPr>
        <w:t xml:space="preserve"> (continued from the Osorio period; signed this Informe on March 20, 1958). Prepared by </w:t>
      </w:r>
      <w:r>
        <w:rPr>
          <w:rFonts w:ascii="Arial" w:cs="Arial" w:eastAsia="Arial" w:hAnsi="Arial"/>
          <w:b/>
          <w:bCs/>
          <w:i w:val="false"/>
          <w:iCs w:val="false"/>
          <w:color w:val="333333"/>
          <w:sz w:val="22"/>
          <w:szCs w:val="22"/>
        </w:rPr>
        <w:t xml:space="preserve">René López Bertrand</w:t>
      </w:r>
      <w:r>
        <w:rPr>
          <w:rFonts w:ascii="Arial" w:cs="Arial" w:eastAsia="Arial" w:hAnsi="Arial"/>
          <w:b w:val="false"/>
          <w:bCs w:val="false"/>
          <w:i w:val="false"/>
          <w:iCs w:val="false"/>
          <w:color w:val="333333"/>
          <w:sz w:val="22"/>
          <w:szCs w:val="22"/>
        </w:rPr>
        <w:t xml:space="preserve">, Jefe del Departamento de Contabilidad Central, and </w:t>
      </w:r>
      <w:r>
        <w:rPr>
          <w:rFonts w:ascii="Arial" w:cs="Arial" w:eastAsia="Arial" w:hAnsi="Arial"/>
          <w:b/>
          <w:bCs/>
          <w:i w:val="false"/>
          <w:iCs w:val="false"/>
          <w:color w:val="333333"/>
          <w:sz w:val="22"/>
          <w:szCs w:val="22"/>
        </w:rPr>
        <w:t xml:space="preserve">Enrique A. Porras</w:t>
      </w:r>
      <w:r>
        <w:rPr>
          <w:rFonts w:ascii="Arial" w:cs="Arial" w:eastAsia="Arial" w:hAnsi="Arial"/>
          <w:b w:val="false"/>
          <w:bCs w:val="false"/>
          <w:i w:val="false"/>
          <w:iCs w:val="false"/>
          <w:color w:val="333333"/>
          <w:sz w:val="22"/>
          <w:szCs w:val="22"/>
        </w:rPr>
        <w:t xml:space="preserve">, former Minister.</w:t>
      </w:r>
    </w:p>
    <w:p>
      <w:pPr>
        <w:spacing w:after="160" w:before="0" w:line="276"/>
        <w:jc w:val="both"/>
      </w:pPr>
      <w:r>
        <w:rPr>
          <w:rFonts w:ascii="Arial" w:cs="Arial" w:eastAsia="Arial" w:hAnsi="Arial"/>
          <w:b w:val="false"/>
          <w:bCs w:val="false"/>
          <w:i w:val="false"/>
          <w:iCs w:val="false"/>
          <w:color w:val="333333"/>
          <w:sz w:val="22"/>
          <w:szCs w:val="22"/>
        </w:rPr>
        <w:t xml:space="preserve">The 1957 fiscal year is the first full year under Lemus’s presidency. The budget was authorized by Decreto Legislativo No. 2290 of December 13, 1956. The expenditure structure was reorganized into six divisions: (1) Gastos de Operación, (2) Gastos de Capital (Equipo y Propiedad), (3) Subvenciones y Subsidios, (4) Egresos que no Representan Gastos, (5) Clases Pasivas y Cotizaciones al Seguro Social, and (6) Deuda Pública. This reclassification reflects the continued modernization of budget management under the MISI model.</w:t>
      </w:r>
    </w:p>
    <w:p>
      <w:pPr>
        <w:spacing w:after="160" w:before="0" w:line="276"/>
        <w:jc w:val="both"/>
      </w:pPr>
      <w:r>
        <w:rPr>
          <w:rFonts w:ascii="Arial" w:cs="Arial" w:eastAsia="Arial" w:hAnsi="Arial"/>
          <w:b w:val="false"/>
          <w:bCs w:val="false"/>
          <w:i/>
          <w:iCs/>
          <w:color w:val="333333"/>
          <w:sz w:val="22"/>
          <w:szCs w:val="22"/>
        </w:rPr>
        <w:t xml:space="preserve">Currency: US$1.00 = ₡2.50 (colones). Fixed exchange rate.</w:t>
      </w:r>
    </w:p>
    <w:p>
      <w:pPr>
        <w:pStyle w:val="Heading1"/>
        <w:spacing w:after="200" w:before="360" w:line="276"/>
        <w:jc w:val="both"/>
      </w:pPr>
      <w:r>
        <w:rPr>
          <w:rFonts w:ascii="Arial" w:cs="Arial" w:eastAsia="Arial" w:hAnsi="Arial"/>
          <w:b/>
          <w:bCs/>
          <w:i w:val="false"/>
          <w:iCs w:val="false"/>
          <w:color w:val="1F3864"/>
          <w:sz w:val="32"/>
          <w:szCs w:val="32"/>
        </w:rPr>
        <w:t xml:space="preserve">Introduction</w:t>
      </w:r>
    </w:p>
    <w:p>
      <w:pPr>
        <w:spacing w:after="160" w:before="0" w:line="276"/>
        <w:jc w:val="both"/>
      </w:pPr>
      <w:r>
        <w:rPr>
          <w:rFonts w:ascii="Arial" w:cs="Arial" w:eastAsia="Arial" w:hAnsi="Arial"/>
          <w:b w:val="false"/>
          <w:bCs w:val="false"/>
          <w:i w:val="false"/>
          <w:iCs w:val="false"/>
          <w:color w:val="333333"/>
          <w:sz w:val="22"/>
          <w:szCs w:val="22"/>
        </w:rPr>
        <w:t xml:space="preserve">This note presents the fiscal data for El Salvador’s fiscal year 1957, drawn from the Informe Complementario Constitucional (Memoria de Hacienda). The document comprises a narrative body (Part A), detailed revenue tables (Part B, Estados Nos. 2 and 3), and debt tables (Part C, Estado de la Deuda Pública, Estados Nos. 23 and 24).</w:t>
      </w:r>
    </w:p>
    <w:p>
      <w:pPr>
        <w:spacing w:after="120" w:before="120" w:line="276"/>
        <w:jc w:val="both"/>
      </w:pPr>
      <w:r>
        <w:rPr>
          <w:rFonts w:ascii="Arial" w:cs="Arial" w:eastAsia="Arial" w:hAnsi="Arial"/>
          <w:b/>
          <w:bCs/>
          <w:i w:val="false"/>
          <w:iCs w:val="false"/>
          <w:color w:val="CC0000"/>
          <w:sz w:val="20"/>
          <w:szCs w:val="20"/>
        </w:rPr>
        <w:t xml:space="preserve">⚠ DATA GAP: </w:t>
      </w:r>
      <w:r>
        <w:rPr>
          <w:rFonts w:ascii="Arial" w:cs="Arial" w:eastAsia="Arial" w:hAnsi="Arial"/>
          <w:b w:val="false"/>
          <w:bCs w:val="false"/>
          <w:i w:val="false"/>
          <w:iCs w:val="false"/>
          <w:color w:val="CC0000"/>
          <w:sz w:val="20"/>
          <w:szCs w:val="20"/>
        </w:rPr>
        <w:t xml:space="preserve">The detailed expenditure tables by organizational unit and economic class (Estado No. 5) are missing from the available scanned document. The expenditure analysis in this note relies on summary data from the narrative body (Part A). The Estado No. 5 is being sought from the Archives office in El Salvador. When obtained, this note will be updated with the full personnel footprint analysis, functional allocation, and consolidated security spending tables.</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1. Revenue Structure and Performance</w:t>
      </w:r>
    </w:p>
    <w:p>
      <w:pPr>
        <w:pStyle w:val="Heading2"/>
        <w:spacing w:after="160" w:before="300" w:line="276"/>
        <w:jc w:val="both"/>
      </w:pPr>
      <w:r>
        <w:rPr>
          <w:rFonts w:ascii="Arial" w:cs="Arial" w:eastAsia="Arial" w:hAnsi="Arial"/>
          <w:b/>
          <w:bCs/>
          <w:i w:val="false"/>
          <w:iCs w:val="false"/>
          <w:color w:val="2E5090"/>
          <w:sz w:val="28"/>
          <w:szCs w:val="28"/>
        </w:rPr>
        <w:t xml:space="preserve">1.1 Overall Revenue</w:t>
      </w:r>
    </w:p>
    <w:p>
      <w:pPr>
        <w:spacing w:after="160" w:before="0" w:line="276"/>
        <w:jc w:val="both"/>
      </w:pPr>
      <w:r>
        <w:rPr>
          <w:rFonts w:ascii="Arial" w:cs="Arial" w:eastAsia="Arial" w:hAnsi="Arial"/>
          <w:b w:val="false"/>
          <w:bCs w:val="false"/>
          <w:i w:val="false"/>
          <w:iCs w:val="false"/>
          <w:color w:val="333333"/>
          <w:sz w:val="22"/>
          <w:szCs w:val="22"/>
        </w:rPr>
        <w:t xml:space="preserve">Total revenues collected and accrued (rentas percibidas y devengadas) reached </w:t>
      </w:r>
      <w:r>
        <w:rPr>
          <w:rFonts w:ascii="Arial" w:cs="Arial" w:eastAsia="Arial" w:hAnsi="Arial"/>
          <w:b/>
          <w:bCs/>
          <w:i w:val="false"/>
          <w:iCs w:val="false"/>
          <w:color w:val="333333"/>
          <w:sz w:val="22"/>
          <w:szCs w:val="22"/>
        </w:rPr>
        <w:t xml:space="preserve">₡189,508,930.37</w:t>
      </w:r>
      <w:r>
        <w:rPr>
          <w:rFonts w:ascii="Arial" w:cs="Arial" w:eastAsia="Arial" w:hAnsi="Arial"/>
          <w:b w:val="false"/>
          <w:bCs w:val="false"/>
          <w:i w:val="false"/>
          <w:iCs w:val="false"/>
          <w:color w:val="333333"/>
          <w:sz w:val="22"/>
          <w:szCs w:val="22"/>
        </w:rPr>
        <w:t xml:space="preserve"> in fiscal year 1957. This represents a notable increase of approximately </w:t>
      </w:r>
      <w:r>
        <w:rPr>
          <w:rFonts w:ascii="Arial" w:cs="Arial" w:eastAsia="Arial" w:hAnsi="Arial"/>
          <w:b/>
          <w:bCs/>
          <w:i w:val="false"/>
          <w:iCs w:val="false"/>
          <w:color w:val="333333"/>
          <w:sz w:val="22"/>
          <w:szCs w:val="22"/>
        </w:rPr>
        <w:t xml:space="preserve">10.9%</w:t>
      </w:r>
      <w:r>
        <w:rPr>
          <w:rFonts w:ascii="Arial" w:cs="Arial" w:eastAsia="Arial" w:hAnsi="Arial"/>
          <w:b w:val="false"/>
          <w:bCs w:val="false"/>
          <w:i w:val="false"/>
          <w:iCs w:val="false"/>
          <w:color w:val="333333"/>
          <w:sz w:val="22"/>
          <w:szCs w:val="22"/>
        </w:rPr>
        <w:t xml:space="preserve"> over 1956 (₡170,931,163) and set a new record. The Presupuesto General estimated total resources at ₡191,423,531.02, so actual collections fell slightly short of estimates (–1.0%), a departure from the pattern of prior years where actuals consistently exceeded estimates.</w:t>
      </w:r>
    </w:p>
    <w:p>
      <w:pPr>
        <w:spacing w:after="160" w:before="0" w:line="276"/>
        <w:jc w:val="both"/>
      </w:pPr>
      <w:r>
        <w:rPr>
          <w:rFonts w:ascii="Arial" w:cs="Arial" w:eastAsia="Arial" w:hAnsi="Arial"/>
          <w:b w:val="false"/>
          <w:bCs w:val="false"/>
          <w:i w:val="false"/>
          <w:iCs w:val="false"/>
          <w:color w:val="333333"/>
          <w:sz w:val="22"/>
          <w:szCs w:val="22"/>
        </w:rPr>
        <w:t xml:space="preserve">Rentas (tax and non-tax revenue) totaled ₡189,508,930.37, of which Ingresos Ordinarios (Rentas) accounted for ₡175,570,735.40 and Otros Ingresos for ₡1,914,600.65.</w:t>
      </w:r>
    </w:p>
    <w:p>
      <w:pPr>
        <w:pStyle w:val="Heading2"/>
        <w:spacing w:after="160" w:before="300" w:line="276"/>
        <w:jc w:val="both"/>
      </w:pPr>
      <w:r>
        <w:rPr>
          <w:rFonts w:ascii="Arial" w:cs="Arial" w:eastAsia="Arial" w:hAnsi="Arial"/>
          <w:b/>
          <w:bCs/>
          <w:i w:val="false"/>
          <w:iCs w:val="false"/>
          <w:color w:val="2E5090"/>
          <w:sz w:val="28"/>
          <w:szCs w:val="28"/>
        </w:rPr>
        <w:t xml:space="preserve">1.2 Revenue Composition</w:t>
      </w:r>
    </w:p>
    <w:p>
      <w:pPr>
        <w:spacing w:after="80" w:before="0" w:line="276"/>
        <w:jc w:val="both"/>
      </w:pPr>
      <w:r>
        <w:rPr>
          <w:rFonts w:ascii="Arial" w:cs="Arial" w:eastAsia="Arial" w:hAnsi="Arial"/>
          <w:b/>
          <w:bCs/>
          <w:i w:val="false"/>
          <w:iCs w:val="false"/>
          <w:color w:val="333333"/>
          <w:sz w:val="18"/>
          <w:szCs w:val="18"/>
        </w:rPr>
        <w:t xml:space="preserve">Table 1. Revenue Composition, Fiscal Year 1957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Source</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Amount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Total</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Derechos de Importación</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36.0%</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Derechos de Exportación</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54.6</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31.1%</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Impuestos sobre Art. Manufacturados y Consumo</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29.8</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16.9%</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Impuesto sobre la Renta y de Vialidad</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16.1</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Impuestos de Sucesiones y Donaciones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Especies Fiscales e Imp. por Servicios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Impuestos por Matrículas de Vehículos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Otros Impuestos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Impuestos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175.6</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91.7%</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Non-tax revenue (services, fees, etc.)</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13.9</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189.5</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100.0%</w:t>
            </w:r>
          </w:p>
        </w:tc>
      </w:tr>
    </w:tbl>
    <w:p>
      <w:pPr>
        <w:spacing w:after="200" w:before="40" w:line="276"/>
        <w:jc w:val="both"/>
      </w:pPr>
      <w:r>
        <w:rPr>
          <w:rFonts w:ascii="Arial" w:cs="Arial" w:eastAsia="Arial" w:hAnsi="Arial"/>
          <w:b w:val="false"/>
          <w:bCs w:val="false"/>
          <w:i/>
          <w:iCs/>
          <w:color w:val="333333"/>
          <w:sz w:val="16"/>
          <w:szCs w:val="16"/>
        </w:rPr>
        <w:t xml:space="preserve">Source: Part A narrative, pp. 12–15; Estado No. 2 (Part B).</w:t>
      </w:r>
    </w:p>
    <w:p>
      <w:pPr>
        <w:pStyle w:val="Heading2"/>
        <w:spacing w:after="160" w:before="300" w:line="276"/>
        <w:jc w:val="both"/>
      </w:pPr>
      <w:r>
        <w:rPr>
          <w:rFonts w:ascii="Arial" w:cs="Arial" w:eastAsia="Arial" w:hAnsi="Arial"/>
          <w:b/>
          <w:bCs/>
          <w:i w:val="false"/>
          <w:iCs w:val="false"/>
          <w:color w:val="2E5090"/>
          <w:sz w:val="28"/>
          <w:szCs w:val="28"/>
        </w:rPr>
        <w:t xml:space="preserve">1.3 The Income Tax Breakthrough</w:t>
      </w:r>
    </w:p>
    <w:p>
      <w:pPr>
        <w:spacing w:after="160" w:before="0" w:line="276"/>
        <w:jc w:val="both"/>
      </w:pPr>
      <w:r>
        <w:rPr>
          <w:rFonts w:ascii="Arial" w:cs="Arial" w:eastAsia="Arial" w:hAnsi="Arial"/>
          <w:b w:val="false"/>
          <w:bCs w:val="false"/>
          <w:i w:val="false"/>
          <w:iCs w:val="false"/>
          <w:color w:val="333333"/>
          <w:sz w:val="22"/>
          <w:szCs w:val="22"/>
        </w:rPr>
        <w:t xml:space="preserve">The most striking revenue development of 1957 was the </w:t>
      </w:r>
      <w:r>
        <w:rPr>
          <w:rFonts w:ascii="Arial" w:cs="Arial" w:eastAsia="Arial" w:hAnsi="Arial"/>
          <w:b/>
          <w:bCs/>
          <w:i w:val="false"/>
          <w:iCs w:val="false"/>
          <w:color w:val="333333"/>
          <w:sz w:val="22"/>
          <w:szCs w:val="22"/>
        </w:rPr>
        <w:t xml:space="preserve">income tax surge</w:t>
      </w:r>
      <w:r>
        <w:rPr>
          <w:rFonts w:ascii="Arial" w:cs="Arial" w:eastAsia="Arial" w:hAnsi="Arial"/>
          <w:b w:val="false"/>
          <w:bCs w:val="false"/>
          <w:i w:val="false"/>
          <w:iCs w:val="false"/>
          <w:color w:val="333333"/>
          <w:sz w:val="22"/>
          <w:szCs w:val="22"/>
        </w:rPr>
        <w:t xml:space="preserve">. The Impuesto sobre la Renta y de Vialidad collected ₡16,108,792.41, representing </w:t>
      </w:r>
      <w:r>
        <w:rPr>
          <w:rFonts w:ascii="Arial" w:cs="Arial" w:eastAsia="Arial" w:hAnsi="Arial"/>
          <w:b/>
          <w:bCs/>
          <w:i w:val="false"/>
          <w:iCs w:val="false"/>
          <w:color w:val="333333"/>
          <w:sz w:val="22"/>
          <w:szCs w:val="22"/>
        </w:rPr>
        <w:t xml:space="preserve">9.18% of total revenue</w:t>
      </w:r>
      <w:r>
        <w:rPr>
          <w:rFonts w:ascii="Arial" w:cs="Arial" w:eastAsia="Arial" w:hAnsi="Arial"/>
          <w:b w:val="false"/>
          <w:bCs w:val="false"/>
          <w:i w:val="false"/>
          <w:iCs w:val="false"/>
          <w:color w:val="333333"/>
          <w:sz w:val="22"/>
          <w:szCs w:val="22"/>
        </w:rPr>
        <w:t xml:space="preserve"> — more than double the 4.1% share recorded in the 1955–1956 biennial, and substantially above the 6.4% share in 1954. The Renta component alone was ₡12,844,755.28, with Vialidad contributing ₡3,264,037.13.</w:t>
      </w:r>
    </w:p>
    <w:p>
      <w:pPr>
        <w:spacing w:after="160" w:before="0" w:line="276"/>
        <w:jc w:val="both"/>
      </w:pPr>
      <w:r>
        <w:rPr>
          <w:rFonts w:ascii="Arial" w:cs="Arial" w:eastAsia="Arial" w:hAnsi="Arial"/>
          <w:b w:val="false"/>
          <w:bCs w:val="false"/>
          <w:i w:val="false"/>
          <w:iCs w:val="false"/>
          <w:color w:val="333333"/>
          <w:sz w:val="22"/>
          <w:szCs w:val="22"/>
        </w:rPr>
        <w:t xml:space="preserve">This increase is remarkable given the structural constraints documented in prior notes (Decreto 510’s 5% maximum corporate rate, Decreto 836’s coffee grower exemption). Possible explanations include: (1) broader economic activity expanding the salary-based tax base; (2) improved collection and enforcement; (3) the Vialidad component growing as vehicle registration expanded; or (4) changes in administrative practice. The Memoria does not explain the increase explicitly, but the narrative notes that all revenue categories except “Mulitas y Comisos” showed increases.</w:t>
      </w:r>
    </w:p>
    <w:p>
      <w:pPr>
        <w:pStyle w:val="Heading2"/>
        <w:spacing w:after="160" w:before="300" w:line="276"/>
        <w:jc w:val="both"/>
      </w:pPr>
      <w:r>
        <w:rPr>
          <w:rFonts w:ascii="Arial" w:cs="Arial" w:eastAsia="Arial" w:hAnsi="Arial"/>
          <w:b/>
          <w:bCs/>
          <w:i w:val="false"/>
          <w:iCs w:val="false"/>
          <w:color w:val="2E5090"/>
          <w:sz w:val="28"/>
          <w:szCs w:val="28"/>
        </w:rPr>
        <w:t xml:space="preserve">1.4 The Pleites Tax Instruments in 1957</w:t>
      </w:r>
    </w:p>
    <w:p>
      <w:pPr>
        <w:spacing w:after="160" w:before="0" w:line="276"/>
        <w:jc w:val="both"/>
      </w:pPr>
      <w:r>
        <w:rPr>
          <w:rFonts w:ascii="Arial" w:cs="Arial" w:eastAsia="Arial" w:hAnsi="Arial"/>
          <w:b w:val="false"/>
          <w:bCs w:val="false"/>
          <w:i w:val="false"/>
          <w:iCs w:val="false"/>
          <w:color w:val="333333"/>
          <w:sz w:val="22"/>
          <w:szCs w:val="22"/>
        </w:rPr>
        <w:t xml:space="preserve">Export duties reached ₡54.6M — up from the biennial average of ₡46.3M/year but below the 1954 peak of ₡46.2M in absolute terms (when combined with 1955–1956 the trajectory shows recovery). The progressive export tax (Decreto 836) continued to generate the bulk of this revenue. Import duties at ₡63.2M exceeded the biennial average, reflecting growing import activity.</w:t>
      </w:r>
    </w:p>
    <w:p>
      <w:pPr>
        <w:spacing w:after="160" w:before="0" w:line="276"/>
        <w:jc w:val="both"/>
      </w:pPr>
      <w:r>
        <w:rPr>
          <w:rFonts w:ascii="Arial" w:cs="Arial" w:eastAsia="Arial" w:hAnsi="Arial"/>
          <w:b w:val="false"/>
          <w:bCs w:val="false"/>
          <w:i w:val="false"/>
          <w:iCs w:val="false"/>
          <w:color w:val="333333"/>
          <w:sz w:val="22"/>
          <w:szCs w:val="22"/>
        </w:rPr>
        <w:t xml:space="preserve">Together, import and export duties accounted for ₡117.8M or </w:t>
      </w:r>
      <w:r>
        <w:rPr>
          <w:rFonts w:ascii="Arial" w:cs="Arial" w:eastAsia="Arial" w:hAnsi="Arial"/>
          <w:b/>
          <w:bCs/>
          <w:i w:val="false"/>
          <w:iCs w:val="false"/>
          <w:color w:val="333333"/>
          <w:sz w:val="22"/>
          <w:szCs w:val="22"/>
        </w:rPr>
        <w:t xml:space="preserve">67.1% of total Impuestos</w:t>
      </w:r>
      <w:r>
        <w:rPr>
          <w:rFonts w:ascii="Arial" w:cs="Arial" w:eastAsia="Arial" w:hAnsi="Arial"/>
          <w:b w:val="false"/>
          <w:bCs w:val="false"/>
          <w:i w:val="false"/>
          <w:iCs w:val="false"/>
          <w:color w:val="333333"/>
          <w:sz w:val="22"/>
          <w:szCs w:val="22"/>
        </w:rPr>
        <w:t xml:space="preserve"> and 62.2% of all revenue — broadly consistent with prior years. The trade dependence persisted, but the income tax’s improved share offered a glimmer of diversification.</w:t>
      </w:r>
    </w:p>
    <w:p>
      <w:pPr>
        <w:pStyle w:val="Heading2"/>
        <w:spacing w:after="160" w:before="300" w:line="276"/>
        <w:jc w:val="both"/>
      </w:pPr>
      <w:r>
        <w:rPr>
          <w:rFonts w:ascii="Arial" w:cs="Arial" w:eastAsia="Arial" w:hAnsi="Arial"/>
          <w:b/>
          <w:bCs/>
          <w:i w:val="false"/>
          <w:iCs w:val="false"/>
          <w:color w:val="2E5090"/>
          <w:sz w:val="28"/>
          <w:szCs w:val="28"/>
        </w:rPr>
        <w:t xml:space="preserve">1.5 Revenue Trend, 1949–1957</w:t>
      </w:r>
    </w:p>
    <w:p>
      <w:pPr>
        <w:spacing w:after="80" w:before="0" w:line="276"/>
        <w:jc w:val="both"/>
      </w:pPr>
      <w:r>
        <w:rPr>
          <w:rFonts w:ascii="Arial" w:cs="Arial" w:eastAsia="Arial" w:hAnsi="Arial"/>
          <w:b/>
          <w:bCs/>
          <w:i w:val="false"/>
          <w:iCs w:val="false"/>
          <w:color w:val="333333"/>
          <w:sz w:val="18"/>
          <w:szCs w:val="18"/>
        </w:rPr>
        <w:t xml:space="preserve">Table 2. Total Revenue, 1949–1957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Fiscal Year</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(₡M)</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1949</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69.2</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1950</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83.4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1951</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117.7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1952</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129.7</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1953</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137.6</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167.4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1955</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164.8</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170.6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189.5</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w:t>
            </w:r>
          </w:p>
        </w:tc>
      </w:tr>
    </w:tbl>
    <w:p>
      <w:pPr>
        <w:spacing w:after="200" w:before="40" w:line="276"/>
        <w:jc w:val="both"/>
      </w:pPr>
      <w:r>
        <w:rPr>
          <w:rFonts w:ascii="Arial" w:cs="Arial" w:eastAsia="Arial" w:hAnsi="Arial"/>
          <w:b w:val="false"/>
          <w:bCs w:val="false"/>
          <w:i/>
          <w:iCs/>
          <w:color w:val="333333"/>
          <w:sz w:val="16"/>
          <w:szCs w:val="16"/>
        </w:rPr>
        <w:t xml:space="preserve">Source: Part A narrative, p. 18; prior Memorias.</w:t>
      </w:r>
    </w:p>
    <w:p>
      <w:pPr>
        <w:spacing w:after="160" w:before="0" w:line="276"/>
        <w:jc w:val="both"/>
      </w:pPr>
      <w:r>
        <w:rPr>
          <w:rFonts w:ascii="Arial" w:cs="Arial" w:eastAsia="Arial" w:hAnsi="Arial"/>
          <w:b w:val="false"/>
          <w:bCs w:val="false"/>
          <w:i w:val="false"/>
          <w:iCs w:val="false"/>
          <w:color w:val="333333"/>
          <w:sz w:val="22"/>
          <w:szCs w:val="22"/>
        </w:rPr>
        <w:t xml:space="preserve">Revenue in 1957 not only recovered from the 1955 dip but surged past the 1954 peak to set a new record. The nine-year trend shows total revenue nearly tripling from ₡69.2M (1949) to ₡189.5M (1957) — a compound annual growth rate of approximately 13.4%.</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2. Expenditure Structure</w:t>
      </w:r>
    </w:p>
    <w:p>
      <w:pPr>
        <w:pStyle w:val="Heading2"/>
        <w:spacing w:after="160" w:before="300" w:line="276"/>
        <w:jc w:val="both"/>
      </w:pPr>
      <w:r>
        <w:rPr>
          <w:rFonts w:ascii="Arial" w:cs="Arial" w:eastAsia="Arial" w:hAnsi="Arial"/>
          <w:b/>
          <w:bCs/>
          <w:i w:val="false"/>
          <w:iCs w:val="false"/>
          <w:color w:val="2E5090"/>
          <w:sz w:val="28"/>
          <w:szCs w:val="28"/>
        </w:rPr>
        <w:t xml:space="preserve">2.1 Total Expenditure</w:t>
      </w:r>
    </w:p>
    <w:p>
      <w:pPr>
        <w:spacing w:after="160" w:before="0" w:line="276"/>
        <w:jc w:val="both"/>
      </w:pPr>
      <w:r>
        <w:rPr>
          <w:rFonts w:ascii="Arial" w:cs="Arial" w:eastAsia="Arial" w:hAnsi="Arial"/>
          <w:b w:val="false"/>
          <w:bCs w:val="false"/>
          <w:i w:val="false"/>
          <w:iCs w:val="false"/>
          <w:color w:val="333333"/>
          <w:sz w:val="22"/>
          <w:szCs w:val="22"/>
        </w:rPr>
        <w:t xml:space="preserve">Total expenditure (gastos y compromisos) charged to the General Fund in 1957 reached </w:t>
      </w:r>
      <w:r>
        <w:rPr>
          <w:rFonts w:ascii="Arial" w:cs="Arial" w:eastAsia="Arial" w:hAnsi="Arial"/>
          <w:b/>
          <w:bCs/>
          <w:i w:val="false"/>
          <w:iCs w:val="false"/>
          <w:color w:val="333333"/>
          <w:sz w:val="22"/>
          <w:szCs w:val="22"/>
        </w:rPr>
        <w:t xml:space="preserve">₡169,033,468.45</w:t>
      </w:r>
      <w:r>
        <w:rPr>
          <w:rFonts w:ascii="Arial" w:cs="Arial" w:eastAsia="Arial" w:hAnsi="Arial"/>
          <w:b w:val="false"/>
          <w:bCs w:val="false"/>
          <w:i w:val="false"/>
          <w:iCs w:val="false"/>
          <w:color w:val="333333"/>
          <w:sz w:val="22"/>
          <w:szCs w:val="22"/>
        </w:rPr>
        <w:t xml:space="preserve"> utilized, from authorized allocations of ₡186,289,257.85 (original ₡174,990,000 plus additional credits of ₡16,660,600 authorized by Decreto Legislativo). The utilization rate was 90.7%.</w:t>
      </w:r>
    </w:p>
    <w:p>
      <w:pPr>
        <w:pStyle w:val="Heading2"/>
        <w:spacing w:after="160" w:before="300" w:line="276"/>
        <w:jc w:val="both"/>
      </w:pPr>
      <w:r>
        <w:rPr>
          <w:rFonts w:ascii="Arial" w:cs="Arial" w:eastAsia="Arial" w:hAnsi="Arial"/>
          <w:b/>
          <w:bCs/>
          <w:i w:val="false"/>
          <w:iCs w:val="false"/>
          <w:color w:val="2E5090"/>
          <w:sz w:val="28"/>
          <w:szCs w:val="28"/>
        </w:rPr>
        <w:t xml:space="preserve">2.2 Expenditure by Economic Class (New 6-Division Structure)</w:t>
      </w:r>
    </w:p>
    <w:p>
      <w:pPr>
        <w:spacing w:after="80" w:before="0" w:line="276"/>
        <w:jc w:val="both"/>
      </w:pPr>
      <w:r>
        <w:rPr>
          <w:rFonts w:ascii="Arial" w:cs="Arial" w:eastAsia="Arial" w:hAnsi="Arial"/>
          <w:b/>
          <w:bCs/>
          <w:i w:val="false"/>
          <w:iCs w:val="false"/>
          <w:color w:val="333333"/>
          <w:sz w:val="18"/>
          <w:szCs w:val="18"/>
        </w:rPr>
        <w:t xml:space="preserve">Table 3. Expenditure by Economic Class, Fiscal Year 1957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Amount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Total</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Gastos de Operación</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99.2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58.7%</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Salarios Permanentes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41.4%</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Otros Servicios Personales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10.6</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Servicios No Personales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6.5</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Materiales, Artículos y Repuestos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Gratificaciones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6.7</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Gastos de Capital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22.9</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Equipo</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5.6</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Propiedad</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17.3</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10.2%</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Subvenciones y Subsidios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33.7</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19.9%</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Clases Pasivas y Cotizaciones Seguro Social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Deuda Pública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Egresos que no Representan Gastos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169.0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100.0%</w:t>
            </w:r>
          </w:p>
        </w:tc>
      </w:tr>
    </w:tbl>
    <w:p>
      <w:pPr>
        <w:spacing w:after="200" w:before="40" w:line="276"/>
        <w:jc w:val="both"/>
      </w:pPr>
      <w:r>
        <w:rPr>
          <w:rFonts w:ascii="Arial" w:cs="Arial" w:eastAsia="Arial" w:hAnsi="Arial"/>
          <w:b w:val="false"/>
          <w:bCs w:val="false"/>
          <w:i/>
          <w:iCs/>
          <w:color w:val="333333"/>
          <w:sz w:val="16"/>
          <w:szCs w:val="16"/>
        </w:rPr>
        <w:t xml:space="preserve">Source: Part A narrative, pp. 20–22.</w:t>
      </w:r>
    </w:p>
    <w:p>
      <w:pPr>
        <w:spacing w:after="160" w:before="0" w:line="276"/>
        <w:jc w:val="both"/>
      </w:pPr>
      <w:r>
        <w:rPr>
          <w:rFonts w:ascii="Arial" w:cs="Arial" w:eastAsia="Arial" w:hAnsi="Arial"/>
          <w:b w:val="false"/>
          <w:bCs w:val="false"/>
          <w:i w:val="false"/>
          <w:iCs w:val="false"/>
          <w:color w:val="333333"/>
          <w:sz w:val="22"/>
          <w:szCs w:val="22"/>
        </w:rPr>
        <w:t xml:space="preserve">The wage bill (Salarios Permanentes at 41.4% plus Otros Servicios Personales at 6.3%) totaled approximately </w:t>
      </w:r>
      <w:r>
        <w:rPr>
          <w:rFonts w:ascii="Arial" w:cs="Arial" w:eastAsia="Arial" w:hAnsi="Arial"/>
          <w:b/>
          <w:bCs/>
          <w:i w:val="false"/>
          <w:iCs w:val="false"/>
          <w:color w:val="333333"/>
          <w:sz w:val="22"/>
          <w:szCs w:val="22"/>
        </w:rPr>
        <w:t xml:space="preserve">47.7%</w:t>
      </w:r>
      <w:r>
        <w:rPr>
          <w:rFonts w:ascii="Arial" w:cs="Arial" w:eastAsia="Arial" w:hAnsi="Arial"/>
          <w:b w:val="false"/>
          <w:bCs w:val="false"/>
          <w:i w:val="false"/>
          <w:iCs w:val="false"/>
          <w:color w:val="333333"/>
          <w:sz w:val="22"/>
          <w:szCs w:val="22"/>
        </w:rPr>
        <w:t xml:space="preserve"> of expenditure — slightly below the 48.3% recorded in the biennial, continuing the pattern of near-50% personnel rigidity. The new Gastos de Capital division at 13.5% highlights the infrastructure investment emphasis, with Propiedad (10.2%) as the dominant component.</w:t>
      </w:r>
    </w:p>
    <w:p>
      <w:pPr>
        <w:pStyle w:val="Heading2"/>
        <w:spacing w:after="160" w:before="300" w:line="276"/>
        <w:jc w:val="both"/>
      </w:pPr>
      <w:r>
        <w:rPr>
          <w:rFonts w:ascii="Arial" w:cs="Arial" w:eastAsia="Arial" w:hAnsi="Arial"/>
          <w:b/>
          <w:bCs/>
          <w:i w:val="false"/>
          <w:iCs w:val="false"/>
          <w:color w:val="2E5090"/>
          <w:sz w:val="28"/>
          <w:szCs w:val="28"/>
        </w:rPr>
        <w:t xml:space="preserve">2.3 Functional Allocation (Summary from Narrative)</w:t>
      </w:r>
    </w:p>
    <w:p>
      <w:pPr>
        <w:spacing w:after="160" w:before="0" w:line="276"/>
        <w:jc w:val="both"/>
      </w:pPr>
      <w:r>
        <w:rPr>
          <w:rFonts w:ascii="Arial" w:cs="Arial" w:eastAsia="Arial" w:hAnsi="Arial"/>
          <w:b w:val="false"/>
          <w:bCs w:val="false"/>
          <w:i/>
          <w:iCs/>
          <w:color w:val="333333"/>
          <w:sz w:val="22"/>
          <w:szCs w:val="22"/>
        </w:rPr>
        <w:t xml:space="preserve">The Part A narrative provides expenditure by ramo as percentages of total utilized credits:</w:t>
      </w:r>
    </w:p>
    <w:p>
      <w:pPr>
        <w:spacing w:after="80" w:before="0" w:line="276"/>
        <w:jc w:val="both"/>
      </w:pPr>
      <w:r>
        <w:rPr>
          <w:rFonts w:ascii="Arial" w:cs="Arial" w:eastAsia="Arial" w:hAnsi="Arial"/>
          <w:b/>
          <w:bCs/>
          <w:i w:val="false"/>
          <w:iCs w:val="false"/>
          <w:color w:val="333333"/>
          <w:sz w:val="18"/>
          <w:szCs w:val="18"/>
        </w:rPr>
        <w:t xml:space="preserve">Table 4. Expenditure by Ministry (Ramo), Fiscal Year 1957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Ramo (Ministry/Branch)</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Amount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Total</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Obras Públicas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32.9</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17.65%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Cultura Popular (Education)</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29.8</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16.60%</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Defensa Nacional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10.32%</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Salud Pública y Asistencia Social</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18.2</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9.74%</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Hacienda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15.5</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8.34%</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Seguridad Pública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13.5</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7.22%</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Gobernación</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11.9</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6.36%</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Deuda Pública (in expenditure)</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6.0+3.8</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 branches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~19.2</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~186.3</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100.0%</w:t>
            </w:r>
          </w:p>
        </w:tc>
      </w:tr>
    </w:tbl>
    <w:p>
      <w:pPr>
        <w:spacing w:after="200" w:before="40" w:line="276"/>
        <w:jc w:val="both"/>
      </w:pPr>
      <w:r>
        <w:rPr>
          <w:rFonts w:ascii="Arial" w:cs="Arial" w:eastAsia="Arial" w:hAnsi="Arial"/>
          <w:b w:val="false"/>
          <w:bCs w:val="false"/>
          <w:i/>
          <w:iCs/>
          <w:color w:val="333333"/>
          <w:sz w:val="16"/>
          <w:szCs w:val="16"/>
        </w:rPr>
        <w:t xml:space="preserve">Source: Part A narrative, pp. 20–21. Note: Some figures are from authorized allocations, not utilized. Precise functional breakdown requires Estado No. 5.</w:t>
      </w:r>
    </w:p>
    <w:p>
      <w:pPr>
        <w:spacing w:after="120" w:before="120" w:line="276"/>
        <w:jc w:val="both"/>
      </w:pPr>
      <w:r>
        <w:rPr>
          <w:rFonts w:ascii="Arial" w:cs="Arial" w:eastAsia="Arial" w:hAnsi="Arial"/>
          <w:b/>
          <w:bCs/>
          <w:i w:val="false"/>
          <w:iCs w:val="false"/>
          <w:color w:val="CC0000"/>
          <w:sz w:val="20"/>
          <w:szCs w:val="20"/>
        </w:rPr>
        <w:t xml:space="preserve">⚠ DATA GAP: </w:t>
      </w:r>
      <w:r>
        <w:rPr>
          <w:rFonts w:ascii="Arial" w:cs="Arial" w:eastAsia="Arial" w:hAnsi="Arial"/>
          <w:b w:val="false"/>
          <w:bCs w:val="false"/>
          <w:i w:val="false"/>
          <w:iCs w:val="false"/>
          <w:color w:val="CC0000"/>
          <w:sz w:val="20"/>
          <w:szCs w:val="20"/>
        </w:rPr>
        <w:t xml:space="preserve">The Estado No. 5 (detailed expenditure by organizational unit and economic class) is missing. Without it, the personnel footprint analysis, consolidated security spending table, and salary mass comparison cannot be completed. This section will be updated when the document is obtained from the Archives.</w:t>
      </w:r>
    </w:p>
    <w:p>
      <w:pPr>
        <w:pStyle w:val="Heading2"/>
        <w:spacing w:after="160" w:before="300" w:line="276"/>
        <w:jc w:val="both"/>
      </w:pPr>
      <w:r>
        <w:rPr>
          <w:rFonts w:ascii="Arial" w:cs="Arial" w:eastAsia="Arial" w:hAnsi="Arial"/>
          <w:b/>
          <w:bCs/>
          <w:i w:val="false"/>
          <w:iCs w:val="false"/>
          <w:color w:val="2E5090"/>
          <w:sz w:val="28"/>
          <w:szCs w:val="28"/>
        </w:rPr>
        <w:t xml:space="preserve">2.4 Preliminary Observations on Expenditure</w:t>
      </w:r>
    </w:p>
    <w:p>
      <w:pPr>
        <w:spacing w:after="160" w:before="0" w:line="276"/>
        <w:jc w:val="both"/>
      </w:pPr>
      <w:r>
        <w:rPr>
          <w:rFonts w:ascii="Arial" w:cs="Arial" w:eastAsia="Arial" w:hAnsi="Arial"/>
          <w:b w:val="false"/>
          <w:bCs w:val="false"/>
          <w:i w:val="false"/>
          <w:iCs w:val="false"/>
          <w:color w:val="333333"/>
          <w:sz w:val="22"/>
          <w:szCs w:val="22"/>
        </w:rPr>
        <w:t xml:space="preserve">Even from the summary data, the expenditure structure shows continuity with the biennial pattern: Obras Públicas remains the largest spending category at 17.65%, followed by Education at 16.60%. Defense at 10.32% continues its declining trajectory. Health at 9.74% maintained the gains from the biennial period. Seguridad Pública at 7.22% is notably higher than in the biennial summary (~3.7%), but this may reflect reclassification or the inclusion of items previously reported under Gobernación.</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3. Public Debt</w:t>
      </w:r>
    </w:p>
    <w:p>
      <w:pPr>
        <w:pStyle w:val="Heading2"/>
        <w:spacing w:after="160" w:before="300" w:line="276"/>
        <w:jc w:val="both"/>
      </w:pPr>
      <w:r>
        <w:rPr>
          <w:rFonts w:ascii="Arial" w:cs="Arial" w:eastAsia="Arial" w:hAnsi="Arial"/>
          <w:b/>
          <w:bCs/>
          <w:i w:val="false"/>
          <w:iCs w:val="false"/>
          <w:color w:val="2E5090"/>
          <w:sz w:val="28"/>
          <w:szCs w:val="28"/>
        </w:rPr>
        <w:t xml:space="preserve">3.1 The Debt Acceleration</w:t>
      </w:r>
    </w:p>
    <w:p>
      <w:pPr>
        <w:spacing w:after="160" w:before="0" w:line="276"/>
        <w:jc w:val="both"/>
      </w:pPr>
      <w:r>
        <w:rPr>
          <w:rFonts w:ascii="Arial" w:cs="Arial" w:eastAsia="Arial" w:hAnsi="Arial"/>
          <w:b w:val="false"/>
          <w:bCs w:val="false"/>
          <w:i w:val="false"/>
          <w:iCs w:val="false"/>
          <w:color w:val="333333"/>
          <w:sz w:val="22"/>
          <w:szCs w:val="22"/>
        </w:rPr>
        <w:t xml:space="preserve">Total public debt at December 31, 1957 reached </w:t>
      </w:r>
      <w:r>
        <w:rPr>
          <w:rFonts w:ascii="Arial" w:cs="Arial" w:eastAsia="Arial" w:hAnsi="Arial"/>
          <w:b/>
          <w:bCs/>
          <w:i w:val="false"/>
          <w:iCs w:val="false"/>
          <w:color w:val="333333"/>
          <w:sz w:val="22"/>
          <w:szCs w:val="22"/>
        </w:rPr>
        <w:t xml:space="preserve">₡42,567,009.88</w:t>
      </w:r>
      <w:r>
        <w:rPr>
          <w:rFonts w:ascii="Arial" w:cs="Arial" w:eastAsia="Arial" w:hAnsi="Arial"/>
          <w:b w:val="false"/>
          <w:bCs w:val="false"/>
          <w:i w:val="false"/>
          <w:iCs w:val="false"/>
          <w:color w:val="333333"/>
          <w:sz w:val="22"/>
          <w:szCs w:val="22"/>
        </w:rPr>
        <w:t xml:space="preserve"> — an increase of approximately ₡10.0 million (30.6%) over end-1956. This was the second consecutive year of major debt increase, driven again by the IBRD Carretera del Litoral loan.</w:t>
      </w:r>
    </w:p>
    <w:p>
      <w:pPr>
        <w:spacing w:after="80" w:before="0" w:line="276"/>
        <w:jc w:val="both"/>
      </w:pPr>
      <w:r>
        <w:rPr>
          <w:rFonts w:ascii="Arial" w:cs="Arial" w:eastAsia="Arial" w:hAnsi="Arial"/>
          <w:b/>
          <w:bCs/>
          <w:i w:val="false"/>
          <w:iCs w:val="false"/>
          <w:color w:val="333333"/>
          <w:sz w:val="18"/>
          <w:szCs w:val="18"/>
        </w:rPr>
        <w:t xml:space="preserve">Table 5. Public Debt Stock, End-1956 vs. End-1957</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End-1956 (₡M)</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End-1957 (₡M)</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Empréstito Nacional 1922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9.96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–0.64</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Carretera del Litoral (IBRD)</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 external (Panam., Caminos)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cancelled</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External</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21.2</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30.7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+9.5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Letras del Tesoro 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Valle de La Esperanza bonds</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7.25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7.88</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+0.63</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Quédanes Fiscales + other</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–0.19</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Internal</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11.4</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11.9</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PUBLIC DEBT</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32.6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42.6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r>
    </w:tbl>
    <w:p>
      <w:pPr>
        <w:spacing w:after="200" w:before="40" w:line="276"/>
        <w:jc w:val="both"/>
      </w:pPr>
      <w:r>
        <w:rPr>
          <w:rFonts w:ascii="Arial" w:cs="Arial" w:eastAsia="Arial" w:hAnsi="Arial"/>
          <w:b w:val="false"/>
          <w:bCs w:val="false"/>
          <w:i/>
          <w:iCs/>
          <w:color w:val="333333"/>
          <w:sz w:val="16"/>
          <w:szCs w:val="16"/>
        </w:rPr>
        <w:t xml:space="preserve">Source: Part C, Estado No. 23; Estado de la Deuda Pública.</w:t>
      </w:r>
    </w:p>
    <w:p>
      <w:pPr>
        <w:spacing w:after="160" w:before="0" w:line="276"/>
        <w:jc w:val="both"/>
      </w:pPr>
      <w:r>
        <w:rPr>
          <w:rFonts w:ascii="Arial" w:cs="Arial" w:eastAsia="Arial" w:hAnsi="Arial"/>
          <w:b w:val="false"/>
          <w:bCs w:val="false"/>
          <w:i w:val="false"/>
          <w:iCs w:val="false"/>
          <w:color w:val="333333"/>
          <w:sz w:val="22"/>
          <w:szCs w:val="22"/>
        </w:rPr>
        <w:t xml:space="preserve">The IBRD Carretera del Litoral loan approximately </w:t>
      </w:r>
      <w:r>
        <w:rPr>
          <w:rFonts w:ascii="Arial" w:cs="Arial" w:eastAsia="Arial" w:hAnsi="Arial"/>
          <w:b/>
          <w:bCs/>
          <w:i w:val="false"/>
          <w:iCs w:val="false"/>
          <w:color w:val="333333"/>
          <w:sz w:val="22"/>
          <w:szCs w:val="22"/>
        </w:rPr>
        <w:t xml:space="preserve">doubled</w:t>
      </w:r>
      <w:r>
        <w:rPr>
          <w:rFonts w:ascii="Arial" w:cs="Arial" w:eastAsia="Arial" w:hAnsi="Arial"/>
          <w:b w:val="false"/>
          <w:bCs w:val="false"/>
          <w:i w:val="false"/>
          <w:iCs w:val="false"/>
          <w:color w:val="333333"/>
          <w:sz w:val="22"/>
          <w:szCs w:val="22"/>
        </w:rPr>
        <w:t xml:space="preserve"> during 1957, from ₡10.6M to ₡21.3M. It was now the single largest debt instrument, surpassing the 1922 loan for the first time. The debt composition shifted dramatically: the IBRD loan represented 50.0% of total debt, while the 1922 loan fell to 23.4%.</w:t>
      </w:r>
    </w:p>
    <w:p>
      <w:pPr>
        <w:pStyle w:val="Heading2"/>
        <w:spacing w:after="160" w:before="300" w:line="276"/>
        <w:jc w:val="both"/>
      </w:pPr>
      <w:r>
        <w:rPr>
          <w:rFonts w:ascii="Arial" w:cs="Arial" w:eastAsia="Arial" w:hAnsi="Arial"/>
          <w:b/>
          <w:bCs/>
          <w:i w:val="false"/>
          <w:iCs w:val="false"/>
          <w:color w:val="2E5090"/>
          <w:sz w:val="28"/>
          <w:szCs w:val="28"/>
        </w:rPr>
        <w:t xml:space="preserve">3.2 The Empréstito Nacional de 1922: 35 Years</w:t>
      </w:r>
    </w:p>
    <w:p>
      <w:pPr>
        <w:spacing w:after="160" w:before="0" w:line="276"/>
        <w:jc w:val="both"/>
      </w:pPr>
      <w:r>
        <w:rPr>
          <w:rFonts w:ascii="Arial" w:cs="Arial" w:eastAsia="Arial" w:hAnsi="Arial"/>
          <w:b w:val="false"/>
          <w:bCs w:val="false"/>
          <w:i w:val="false"/>
          <w:iCs w:val="false"/>
          <w:color w:val="333333"/>
          <w:sz w:val="22"/>
          <w:szCs w:val="22"/>
        </w:rPr>
        <w:t xml:space="preserve">The 1922 loan at end-1957 stood at </w:t>
      </w:r>
      <w:r>
        <w:rPr>
          <w:rFonts w:ascii="Arial" w:cs="Arial" w:eastAsia="Arial" w:hAnsi="Arial"/>
          <w:b/>
          <w:bCs/>
          <w:i w:val="false"/>
          <w:iCs w:val="false"/>
          <w:color w:val="333333"/>
          <w:sz w:val="22"/>
          <w:szCs w:val="22"/>
        </w:rPr>
        <w:t xml:space="preserve">₡9,962,114.60</w:t>
      </w:r>
      <w:r>
        <w:rPr>
          <w:rFonts w:ascii="Arial" w:cs="Arial" w:eastAsia="Arial" w:hAnsi="Arial"/>
          <w:b w:val="false"/>
          <w:bCs w:val="false"/>
          <w:i w:val="false"/>
          <w:iCs w:val="false"/>
          <w:color w:val="333333"/>
          <w:sz w:val="22"/>
          <w:szCs w:val="22"/>
        </w:rPr>
        <w:t xml:space="preserve"> — declining by approximately ₡644,000 during the year. The multi-currency structure persisted: dollar bonds at 4%, 3½%, and 3%, sterling bonds at 3%, plus deferred interest certificates. The annual ₡2M transfer to the BCR for service continued.</w:t>
      </w:r>
    </w:p>
    <w:p>
      <w:pPr>
        <w:spacing w:after="160" w:before="0" w:line="276"/>
        <w:jc w:val="both"/>
      </w:pPr>
      <w:r>
        <w:rPr>
          <w:rFonts w:ascii="Arial" w:cs="Arial" w:eastAsia="Arial" w:hAnsi="Arial"/>
          <w:b w:val="false"/>
          <w:bCs w:val="false"/>
          <w:i w:val="false"/>
          <w:iCs w:val="false"/>
          <w:color w:val="333333"/>
          <w:sz w:val="22"/>
          <w:szCs w:val="22"/>
        </w:rPr>
        <w:t xml:space="preserve">For the first time in the series, the 1922 loan was no longer the largest single debt instrument — the IBRD loan surpassed it. But the 1922 loan’s administrative burden (multi-currency management, holdout bondholders from the 1933/1936 restructuring) remained disproportionate to its declining stock. As Turcios documents in </w:t>
      </w:r>
      <w:r>
        <w:rPr>
          <w:rFonts w:ascii="Arial" w:cs="Arial" w:eastAsia="Arial" w:hAnsi="Arial"/>
          <w:b w:val="false"/>
          <w:bCs w:val="false"/>
          <w:i/>
          <w:iCs/>
          <w:color w:val="333333"/>
          <w:sz w:val="22"/>
          <w:szCs w:val="22"/>
        </w:rPr>
        <w:t xml:space="preserve">Rebelión</w:t>
      </w:r>
      <w:r>
        <w:rPr>
          <w:rFonts w:ascii="Arial" w:cs="Arial" w:eastAsia="Arial" w:hAnsi="Arial"/>
          <w:b w:val="false"/>
          <w:bCs w:val="false"/>
          <w:i w:val="false"/>
          <w:iCs w:val="false"/>
          <w:color w:val="333333"/>
          <w:sz w:val="22"/>
          <w:szCs w:val="22"/>
        </w:rPr>
        <w:t xml:space="preserve"> (Chapter 4, “Deudas eternas”), the endurance of this debt was not merely a fiscal fact but a political one — a symbol of the state’s historical incapacity to resolve its financial obligations cleanly.</w:t>
      </w:r>
    </w:p>
    <w:p>
      <w:pPr>
        <w:pStyle w:val="Heading2"/>
        <w:spacing w:after="160" w:before="300" w:line="276"/>
        <w:jc w:val="both"/>
      </w:pPr>
      <w:r>
        <w:rPr>
          <w:rFonts w:ascii="Arial" w:cs="Arial" w:eastAsia="Arial" w:hAnsi="Arial"/>
          <w:b/>
          <w:bCs/>
          <w:i w:val="false"/>
          <w:iCs w:val="false"/>
          <w:color w:val="2E5090"/>
          <w:sz w:val="28"/>
          <w:szCs w:val="28"/>
        </w:rPr>
        <w:t xml:space="preserve">3.3 Valle de La Esperanza</w:t>
      </w:r>
    </w:p>
    <w:p>
      <w:pPr>
        <w:spacing w:after="160" w:before="0" w:line="276"/>
        <w:jc w:val="both"/>
      </w:pPr>
      <w:r>
        <w:rPr>
          <w:rFonts w:ascii="Arial" w:cs="Arial" w:eastAsia="Arial" w:hAnsi="Arial"/>
          <w:b w:val="false"/>
          <w:bCs w:val="false"/>
          <w:i w:val="false"/>
          <w:iCs w:val="false"/>
          <w:color w:val="333333"/>
          <w:sz w:val="22"/>
          <w:szCs w:val="22"/>
        </w:rPr>
        <w:t xml:space="preserve">The Valle de La Esperanza bonds outstanding rose to ₡7,875,000 (Series A ₡1,600,000 + Series B ₡9,550,000, net of some restructuring). Of the original ₡11,150,000 authorization, approximately 71% was now issued.</w:t>
      </w:r>
    </w:p>
    <w:p>
      <w:pPr>
        <w:pStyle w:val="Heading2"/>
        <w:spacing w:after="160" w:before="300" w:line="276"/>
        <w:jc w:val="both"/>
      </w:pPr>
      <w:r>
        <w:rPr>
          <w:rFonts w:ascii="Arial" w:cs="Arial" w:eastAsia="Arial" w:hAnsi="Arial"/>
          <w:b/>
          <w:bCs/>
          <w:i w:val="false"/>
          <w:iCs w:val="false"/>
          <w:color w:val="2E5090"/>
          <w:sz w:val="28"/>
          <w:szCs w:val="28"/>
        </w:rPr>
        <w:t xml:space="preserve">3.4 Debt Service</w:t>
      </w:r>
    </w:p>
    <w:p>
      <w:pPr>
        <w:spacing w:after="160" w:before="0" w:line="276"/>
        <w:jc w:val="both"/>
      </w:pPr>
      <w:r>
        <w:rPr>
          <w:rFonts w:ascii="Arial" w:cs="Arial" w:eastAsia="Arial" w:hAnsi="Arial"/>
          <w:b w:val="false"/>
          <w:bCs w:val="false"/>
          <w:i w:val="false"/>
          <w:iCs w:val="false"/>
          <w:color w:val="333333"/>
          <w:sz w:val="22"/>
          <w:szCs w:val="22"/>
        </w:rPr>
        <w:t xml:space="preserve">The Deuda Pública line in the expenditure tables shows ₡3,810,324.59 (2.25% of total expenditure). However, this figure may not capture the full debt service cost including off-budget funds. The Comentario Final notes that the Superavit Financiero of ₡45,724,504.98 reflects conservative budgeting and full compliance with debt obligations.</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4. Balance Sheet and Financial Position</w:t>
      </w:r>
    </w:p>
    <w:p>
      <w:pPr>
        <w:spacing w:after="80" w:before="0" w:line="276"/>
        <w:jc w:val="both"/>
      </w:pPr>
      <w:r>
        <w:rPr>
          <w:rFonts w:ascii="Arial" w:cs="Arial" w:eastAsia="Arial" w:hAnsi="Arial"/>
          <w:b/>
          <w:bCs/>
          <w:i w:val="false"/>
          <w:iCs w:val="false"/>
          <w:color w:val="333333"/>
          <w:sz w:val="18"/>
          <w:szCs w:val="18"/>
        </w:rPr>
        <w:t xml:space="preserve">Table 6. Balance General, Fondo General, End-1956 vs. End-1957</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End-1956 (₡M)</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End-1957 (₡M)</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Activo Circulante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77.9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88.6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+10.7</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Activo Permanente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Activo</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95.2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112.6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+17.4</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Pasivo Circulante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Provisiones y Reservas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−14.0</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Pasivo</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37.9</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42.9</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+5.0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Superávit Financiero</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Superávit Permanente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+6.7</w:t>
            </w:r>
          </w:p>
        </w:tc>
      </w:tr>
    </w:tbl>
    <w:p>
      <w:pPr>
        <w:spacing w:after="200" w:before="40" w:line="276"/>
        <w:jc w:val="both"/>
      </w:pPr>
      <w:r>
        <w:rPr>
          <w:rFonts w:ascii="Arial" w:cs="Arial" w:eastAsia="Arial" w:hAnsi="Arial"/>
          <w:b w:val="false"/>
          <w:bCs w:val="false"/>
          <w:i/>
          <w:iCs/>
          <w:color w:val="333333"/>
          <w:sz w:val="16"/>
          <w:szCs w:val="16"/>
        </w:rPr>
        <w:t xml:space="preserve">Source: Part A, Section IV, pp. 28–33.</w:t>
      </w:r>
    </w:p>
    <w:p>
      <w:pPr>
        <w:spacing w:after="160" w:before="0" w:line="276"/>
        <w:jc w:val="both"/>
      </w:pPr>
      <w:r>
        <w:rPr>
          <w:rFonts w:ascii="Arial" w:cs="Arial" w:eastAsia="Arial" w:hAnsi="Arial"/>
          <w:b w:val="false"/>
          <w:bCs w:val="false"/>
          <w:i w:val="false"/>
          <w:iCs w:val="false"/>
          <w:color w:val="333333"/>
          <w:sz w:val="22"/>
          <w:szCs w:val="22"/>
        </w:rPr>
        <w:t xml:space="preserve">The Superávit Financiero continued to grow, reaching ₡45,724,504.98 — up from ₡39.9M at end-1956. Total assets expanded to ₡112.6M, driven by growth in both circulating and permanent assets. However, circulating liabilities also rose sharply (from ₡12.6M to ₡31.6M), reflecting growing commitments. The government’s investments at the BCR, CEL certificates, and INSAFOP bonds were among the major permanent asset items.</w:t>
      </w:r>
    </w:p>
    <w:p>
      <w:pPr>
        <w:pStyle w:val="Heading1"/>
        <w:spacing w:after="200" w:before="360" w:line="276"/>
        <w:jc w:val="both"/>
      </w:pPr>
      <w:r>
        <w:rPr>
          <w:rFonts w:ascii="Arial" w:cs="Arial" w:eastAsia="Arial" w:hAnsi="Arial"/>
          <w:b/>
          <w:bCs/>
          <w:i w:val="false"/>
          <w:iCs w:val="false"/>
          <w:color w:val="1F3864"/>
          <w:sz w:val="32"/>
          <w:szCs w:val="32"/>
        </w:rPr>
        <w:t xml:space="preserve">5. Extraordinary Budgets and Special Funds</w:t>
      </w:r>
    </w:p>
    <w:p>
      <w:pPr>
        <w:spacing w:after="160" w:before="0" w:line="276"/>
        <w:jc w:val="both"/>
      </w:pPr>
      <w:r>
        <w:rPr>
          <w:rFonts w:ascii="Arial" w:cs="Arial" w:eastAsia="Arial" w:hAnsi="Arial"/>
          <w:b/>
          <w:bCs/>
          <w:i w:val="false"/>
          <w:iCs w:val="false"/>
          <w:color w:val="333333"/>
          <w:sz w:val="22"/>
          <w:szCs w:val="22"/>
        </w:rPr>
        <w:t xml:space="preserve">Fondo de la Carretera Panamericana: </w:t>
      </w:r>
      <w:r>
        <w:rPr>
          <w:rFonts w:ascii="Arial" w:cs="Arial" w:eastAsia="Arial" w:hAnsi="Arial"/>
          <w:b w:val="false"/>
          <w:bCs w:val="false"/>
          <w:i w:val="false"/>
          <w:iCs w:val="false"/>
          <w:color w:val="333333"/>
          <w:sz w:val="22"/>
          <w:szCs w:val="22"/>
        </w:rPr>
        <w:t xml:space="preserve">Had no operations during 1957; the fund’s balance reflects only the liquidation position from prior years. The Carretera Panamericana bonds were fully cancelled.</w:t>
      </w:r>
    </w:p>
    <w:p>
      <w:pPr>
        <w:spacing w:after="160" w:before="0" w:line="276"/>
        <w:jc w:val="both"/>
      </w:pPr>
      <w:r>
        <w:rPr>
          <w:rFonts w:ascii="Arial" w:cs="Arial" w:eastAsia="Arial" w:hAnsi="Arial"/>
          <w:b/>
          <w:bCs/>
          <w:i w:val="false"/>
          <w:iCs w:val="false"/>
          <w:color w:val="333333"/>
          <w:sz w:val="22"/>
          <w:szCs w:val="22"/>
        </w:rPr>
        <w:t xml:space="preserve">Fondo del Empréstito Interno de Aprovisionamiento: </w:t>
      </w:r>
      <w:r>
        <w:rPr>
          <w:rFonts w:ascii="Arial" w:cs="Arial" w:eastAsia="Arial" w:hAnsi="Arial"/>
          <w:b w:val="false"/>
          <w:bCs w:val="false"/>
          <w:i w:val="false"/>
          <w:iCs w:val="false"/>
          <w:color w:val="333333"/>
          <w:sz w:val="22"/>
          <w:szCs w:val="22"/>
        </w:rPr>
        <w:t xml:space="preserve">Balance negative at ₡0.98 — effectively liquidated.</w:t>
      </w:r>
    </w:p>
    <w:p>
      <w:pPr>
        <w:spacing w:after="160" w:before="0" w:line="276"/>
        <w:jc w:val="both"/>
      </w:pPr>
      <w:r>
        <w:rPr>
          <w:rFonts w:ascii="Arial" w:cs="Arial" w:eastAsia="Arial" w:hAnsi="Arial"/>
          <w:b/>
          <w:bCs/>
          <w:i w:val="false"/>
          <w:iCs w:val="false"/>
          <w:color w:val="333333"/>
          <w:sz w:val="22"/>
          <w:szCs w:val="22"/>
        </w:rPr>
        <w:t xml:space="preserve">Valle de La Esperanza: </w:t>
      </w:r>
      <w:r>
        <w:rPr>
          <w:rFonts w:ascii="Arial" w:cs="Arial" w:eastAsia="Arial" w:hAnsi="Arial"/>
          <w:b w:val="false"/>
          <w:bCs w:val="false"/>
          <w:i w:val="false"/>
          <w:iCs w:val="false"/>
          <w:color w:val="333333"/>
          <w:sz w:val="22"/>
          <w:szCs w:val="22"/>
        </w:rPr>
        <w:t xml:space="preserve">The fund for rehabilitation and development continued operations. Authorized allocations, utilized amounts, and saldo disponible detailed in the Estado No. 18.</w:t>
      </w:r>
    </w:p>
    <w:p>
      <w:pPr>
        <w:spacing w:after="160" w:before="0" w:line="276"/>
        <w:jc w:val="both"/>
      </w:pPr>
      <w:r>
        <w:rPr>
          <w:rFonts w:ascii="Arial" w:cs="Arial" w:eastAsia="Arial" w:hAnsi="Arial"/>
          <w:b/>
          <w:bCs/>
          <w:i w:val="false"/>
          <w:iCs w:val="false"/>
          <w:color w:val="333333"/>
          <w:sz w:val="22"/>
          <w:szCs w:val="22"/>
        </w:rPr>
        <w:t xml:space="preserve">Fondo para la Construcción del Camino Interamericano: </w:t>
      </w:r>
      <w:r>
        <w:rPr>
          <w:rFonts w:ascii="Arial" w:cs="Arial" w:eastAsia="Arial" w:hAnsi="Arial"/>
          <w:b w:val="false"/>
          <w:bCs w:val="false"/>
          <w:i w:val="false"/>
          <w:iCs w:val="false"/>
          <w:color w:val="333333"/>
          <w:sz w:val="22"/>
          <w:szCs w:val="22"/>
        </w:rPr>
        <w:t xml:space="preserve">Total balance of ₡8,160,000 in Pagarés and Bonos (Series A and B).</w:t>
      </w:r>
    </w:p>
    <w:p>
      <w:pPr>
        <w:spacing w:after="160" w:before="0" w:line="276"/>
        <w:jc w:val="both"/>
      </w:pPr>
      <w:r>
        <w:rPr>
          <w:rFonts w:ascii="Arial" w:cs="Arial" w:eastAsia="Arial" w:hAnsi="Arial"/>
          <w:b/>
          <w:bCs/>
          <w:i w:val="false"/>
          <w:iCs w:val="false"/>
          <w:color w:val="333333"/>
          <w:sz w:val="22"/>
          <w:szCs w:val="22"/>
        </w:rPr>
        <w:t xml:space="preserve">Fondo de la Carretera del Litoral (IBRD): </w:t>
      </w:r>
      <w:r>
        <w:rPr>
          <w:rFonts w:ascii="Arial" w:cs="Arial" w:eastAsia="Arial" w:hAnsi="Arial"/>
          <w:b w:val="false"/>
          <w:bCs w:val="false"/>
          <w:i w:val="false"/>
          <w:iCs w:val="false"/>
          <w:color w:val="333333"/>
          <w:sz w:val="22"/>
          <w:szCs w:val="22"/>
        </w:rPr>
        <w:t xml:space="preserve">The largest off-budget fund. At year-end, the account showed ₡36,487,793.43 in total resources, with ₡4,262,031.64 in administration costs, ₡342,563.94 in capital/equipment, and ₡31,883,197.85 in capital/construction. The Proveeduría Especial de la Proveeduría General managed procurement.</w:t>
      </w:r>
    </w:p>
    <w:p>
      <w:pPr>
        <w:spacing w:after="160" w:before="0" w:line="276"/>
        <w:jc w:val="both"/>
      </w:pPr>
      <w:r>
        <w:rPr>
          <w:rFonts w:ascii="Arial" w:cs="Arial" w:eastAsia="Arial" w:hAnsi="Arial"/>
          <w:b/>
          <w:bCs/>
          <w:i w:val="false"/>
          <w:iCs w:val="false"/>
          <w:color w:val="333333"/>
          <w:sz w:val="22"/>
          <w:szCs w:val="22"/>
        </w:rPr>
        <w:t xml:space="preserve">Proveeduría General de la República: </w:t>
      </w:r>
      <w:r>
        <w:rPr>
          <w:rFonts w:ascii="Arial" w:cs="Arial" w:eastAsia="Arial" w:hAnsi="Arial"/>
          <w:b w:val="false"/>
          <w:bCs w:val="false"/>
          <w:i w:val="false"/>
          <w:iCs w:val="false"/>
          <w:color w:val="333333"/>
          <w:sz w:val="22"/>
          <w:szCs w:val="22"/>
        </w:rPr>
        <w:t xml:space="preserve">Operating independently with revenues from merchandise sales (₡881,540.69) and other income (₡165,000.00), totaling ₡1,046,540.69.</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6. Comparative Analysis: 1952–1957 Trajectory</w:t>
      </w:r>
    </w:p>
    <w:p>
      <w:pPr>
        <w:spacing w:after="80" w:before="0" w:line="276"/>
        <w:jc w:val="both"/>
      </w:pPr>
      <w:r>
        <w:rPr>
          <w:rFonts w:ascii="Arial" w:cs="Arial" w:eastAsia="Arial" w:hAnsi="Arial"/>
          <w:b/>
          <w:bCs/>
          <w:i w:val="false"/>
          <w:iCs w:val="false"/>
          <w:color w:val="333333"/>
          <w:sz w:val="18"/>
          <w:szCs w:val="18"/>
        </w:rPr>
        <w:t xml:space="preserve">Table 7. Key Fiscal Indicators, 1952–1957</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1952</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1953</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135.2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140.3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167.4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167.9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189.5</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Expenditure (₡M)</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112.1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124.1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142.4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153.2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169.0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Wage bill (% expend.)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47.7%</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Education (% expend.)</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16.6%</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Defense (% expend.)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10.3%</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Health (% expend.)</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9.7%</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exp.)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debt (₡M)</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30.6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28.4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32.6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42.6</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 rev.)</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Trade tax (% rev.)</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~62%</w:t>
            </w:r>
          </w:p>
        </w:tc>
      </w:tr>
    </w:tbl>
    <w:p>
      <w:pPr>
        <w:spacing w:after="200" w:before="40" w:line="276"/>
        <w:jc w:val="both"/>
      </w:pPr>
      <w:r>
        <w:rPr>
          <w:rFonts w:ascii="Arial" w:cs="Arial" w:eastAsia="Arial" w:hAnsi="Arial"/>
          <w:b w:val="false"/>
          <w:bCs w:val="false"/>
          <w:i/>
          <w:iCs/>
          <w:color w:val="333333"/>
          <w:sz w:val="16"/>
          <w:szCs w:val="16"/>
        </w:rPr>
        <w:t xml:space="preserve">Source: Memorias de Hacienda 1952–1957. *1955–56 figures are annual averages from the biennial.</w:t>
      </w:r>
    </w:p>
    <w:p>
      <w:pPr>
        <w:spacing w:after="160" w:before="0" w:line="276"/>
        <w:jc w:val="both"/>
      </w:pPr>
      <w:r>
        <w:rPr>
          <w:rFonts w:ascii="Arial" w:cs="Arial" w:eastAsia="Arial" w:hAnsi="Arial"/>
          <w:b w:val="false"/>
          <w:bCs w:val="false"/>
          <w:i w:val="false"/>
          <w:iCs w:val="false"/>
          <w:color w:val="333333"/>
          <w:sz w:val="22"/>
          <w:szCs w:val="22"/>
        </w:rPr>
        <w:t xml:space="preserve">The trajectory reveals: (1) Revenue reached a new peak, with the income tax’s share nearly doubling to 9.2%. (2) The wage bill declined slightly to 47.7% but remained near the critical threshold. (3) Education and health maintained their gains. (4) Debt accelerated dramatically from ₡32.6M to ₡42.6M, driven by the IBRD loan. (5) Trade tax dependence persisted at ~62% despite the income tax improvement.</w:t>
      </w:r>
    </w:p>
    <w:p>
      <w:pPr>
        <w:pStyle w:val="Heading1"/>
        <w:spacing w:after="200" w:before="360" w:line="276"/>
        <w:jc w:val="both"/>
      </w:pPr>
      <w:r>
        <w:rPr>
          <w:rFonts w:ascii="Arial" w:cs="Arial" w:eastAsia="Arial" w:hAnsi="Arial"/>
          <w:b/>
          <w:bCs/>
          <w:i w:val="false"/>
          <w:iCs w:val="false"/>
          <w:color w:val="1F3864"/>
          <w:sz w:val="32"/>
          <w:szCs w:val="32"/>
        </w:rPr>
        <w:t xml:space="preserve">7. Preliminary Observations</w:t>
      </w:r>
    </w:p>
    <w:p>
      <w:pPr>
        <w:spacing w:after="160" w:before="0" w:line="276"/>
        <w:jc w:val="both"/>
      </w:pPr>
      <w:r>
        <w:rPr>
          <w:rFonts w:ascii="Arial" w:cs="Arial" w:eastAsia="Arial" w:hAnsi="Arial"/>
          <w:b/>
          <w:bCs/>
          <w:i w:val="false"/>
          <w:iCs w:val="false"/>
          <w:color w:val="333333"/>
          <w:sz w:val="22"/>
          <w:szCs w:val="22"/>
        </w:rPr>
        <w:t xml:space="preserve">1. Revenue at a new peak with a structural surprise. </w:t>
      </w:r>
      <w:r>
        <w:rPr>
          <w:rFonts w:ascii="Arial" w:cs="Arial" w:eastAsia="Arial" w:hAnsi="Arial"/>
          <w:b w:val="false"/>
          <w:bCs w:val="false"/>
          <w:i w:val="false"/>
          <w:iCs w:val="false"/>
          <w:color w:val="333333"/>
          <w:sz w:val="22"/>
          <w:szCs w:val="22"/>
        </w:rPr>
        <w:t xml:space="preserve">The income tax’s surge to 9.2% of revenue is the most significant structural development since the introduction of the progressive export tax. If sustained, this could begin to address the revenue diversification gap that every prior diagnostic has flagged. However, the increase’s drivers need to be understood — was it a one-time effect or a durable improvement?</w:t>
      </w:r>
    </w:p>
    <w:p>
      <w:pPr>
        <w:spacing w:after="160" w:before="0" w:line="276"/>
        <w:jc w:val="both"/>
      </w:pPr>
      <w:r>
        <w:rPr>
          <w:rFonts w:ascii="Arial" w:cs="Arial" w:eastAsia="Arial" w:hAnsi="Arial"/>
          <w:b/>
          <w:bCs/>
          <w:i w:val="false"/>
          <w:iCs w:val="false"/>
          <w:color w:val="333333"/>
          <w:sz w:val="22"/>
          <w:szCs w:val="22"/>
        </w:rPr>
        <w:t xml:space="preserve">2. Debt acceleration is now a trend, not an event. </w:t>
      </w:r>
      <w:r>
        <w:rPr>
          <w:rFonts w:ascii="Arial" w:cs="Arial" w:eastAsia="Arial" w:hAnsi="Arial"/>
          <w:b w:val="false"/>
          <w:bCs w:val="false"/>
          <w:i w:val="false"/>
          <w:iCs w:val="false"/>
          <w:color w:val="333333"/>
          <w:sz w:val="22"/>
          <w:szCs w:val="22"/>
        </w:rPr>
        <w:t xml:space="preserve">Total debt rose 30.6% in 1957 after rising 36% in 1956. The two-year increase from ₡23.9M to ₡42.6M (78%) represents a fundamental shift from the debt-retirement trajectory of 1952–1955. The IBRD Carretera del Litoral loan, now the single largest debt instrument, will continue disbursing and generate growing service obligations.</w:t>
      </w:r>
    </w:p>
    <w:p>
      <w:pPr>
        <w:spacing w:after="160" w:before="0" w:line="276"/>
        <w:jc w:val="both"/>
      </w:pPr>
      <w:r>
        <w:rPr>
          <w:rFonts w:ascii="Arial" w:cs="Arial" w:eastAsia="Arial" w:hAnsi="Arial"/>
          <w:b/>
          <w:bCs/>
          <w:i w:val="false"/>
          <w:iCs w:val="false"/>
          <w:color w:val="333333"/>
          <w:sz w:val="22"/>
          <w:szCs w:val="22"/>
        </w:rPr>
        <w:t xml:space="preserve">3. The IBRD loan surpassed the 1922 loan. </w:t>
      </w:r>
      <w:r>
        <w:rPr>
          <w:rFonts w:ascii="Arial" w:cs="Arial" w:eastAsia="Arial" w:hAnsi="Arial"/>
          <w:b w:val="false"/>
          <w:bCs w:val="false"/>
          <w:i w:val="false"/>
          <w:iCs w:val="false"/>
          <w:color w:val="333333"/>
          <w:sz w:val="22"/>
          <w:szCs w:val="22"/>
        </w:rPr>
        <w:t xml:space="preserve">For the first time, a development-era instrument exceeded the colonial-era legacy debt. The 1922 loan at ₡9.96M was now only 23.4% of total debt, down from 62% in 1953. The shift from legacy to development debt was qualitative: project-specific, multilateral, with defined terms. But it was also quantitatively consequential — the new borrowing was much larger than the old.</w:t>
      </w:r>
    </w:p>
    <w:p>
      <w:pPr>
        <w:spacing w:after="160" w:before="0" w:line="276"/>
        <w:jc w:val="both"/>
      </w:pPr>
      <w:r>
        <w:rPr>
          <w:rFonts w:ascii="Arial" w:cs="Arial" w:eastAsia="Arial" w:hAnsi="Arial"/>
          <w:b/>
          <w:bCs/>
          <w:i w:val="false"/>
          <w:iCs w:val="false"/>
          <w:color w:val="333333"/>
          <w:sz w:val="22"/>
          <w:szCs w:val="22"/>
        </w:rPr>
        <w:t xml:space="preserve">4. The expenditure data gap limits analysis. </w:t>
      </w:r>
      <w:r>
        <w:rPr>
          <w:rFonts w:ascii="Arial" w:cs="Arial" w:eastAsia="Arial" w:hAnsi="Arial"/>
          <w:b w:val="false"/>
          <w:bCs w:val="false"/>
          <w:i w:val="false"/>
          <w:iCs w:val="false"/>
          <w:color w:val="333333"/>
          <w:sz w:val="22"/>
          <w:szCs w:val="22"/>
        </w:rPr>
        <w:t xml:space="preserve">Without the Estado No. 5, we cannot produce the personnel footprint, consolidated security spending, or functional allocation analyses that anchor the 1954 and 1955–1956 notes. The summary data from Part A suggests continuity in the developmental spending pattern, but this needs verification.</w:t>
      </w:r>
    </w:p>
    <w:p>
      <w:pPr>
        <w:spacing w:after="160" w:before="0" w:line="276"/>
        <w:jc w:val="both"/>
      </w:pPr>
      <w:r>
        <w:rPr>
          <w:rFonts w:ascii="Arial" w:cs="Arial" w:eastAsia="Arial" w:hAnsi="Arial"/>
          <w:b/>
          <w:bCs/>
          <w:i w:val="false"/>
          <w:iCs w:val="false"/>
          <w:color w:val="333333"/>
          <w:sz w:val="22"/>
          <w:szCs w:val="22"/>
        </w:rPr>
        <w:t xml:space="preserve">5. The Superavit Financiero continued to grow. </w:t>
      </w:r>
      <w:r>
        <w:rPr>
          <w:rFonts w:ascii="Arial" w:cs="Arial" w:eastAsia="Arial" w:hAnsi="Arial"/>
          <w:b w:val="false"/>
          <w:bCs w:val="false"/>
          <w:i w:val="false"/>
          <w:iCs w:val="false"/>
          <w:color w:val="333333"/>
          <w:sz w:val="22"/>
          <w:szCs w:val="22"/>
        </w:rPr>
        <w:t xml:space="preserve">At ₡45.7M, it was the highest in the series — paradoxically growing alongside the debt stock. The dual-budget architecture explains this: the General Fund ran surpluses while off-budget entities (Carretera del Litoral, Valle de La Esperanza) accumulated debt. The headline surplus masked the true fiscal footprint.</w:t>
      </w:r>
    </w:p>
    <w:p>
      <w:pPr>
        <w:spacing w:after="160" w:before="0" w:line="276"/>
        <w:jc w:val="both"/>
      </w:pPr>
      <w:r>
        <w:rPr>
          <w:rFonts w:ascii="Arial" w:cs="Arial" w:eastAsia="Arial" w:hAnsi="Arial"/>
          <w:b/>
          <w:bCs/>
          <w:i w:val="false"/>
          <w:iCs w:val="false"/>
          <w:color w:val="333333"/>
          <w:sz w:val="22"/>
          <w:szCs w:val="22"/>
        </w:rPr>
        <w:t xml:space="preserve">6. The Lemus administration’s first year was fiscally comfortable. </w:t>
      </w:r>
      <w:r>
        <w:rPr>
          <w:rFonts w:ascii="Arial" w:cs="Arial" w:eastAsia="Arial" w:hAnsi="Arial"/>
          <w:b w:val="false"/>
          <w:bCs w:val="false"/>
          <w:i w:val="false"/>
          <w:iCs w:val="false"/>
          <w:color w:val="333333"/>
          <w:sz w:val="22"/>
          <w:szCs w:val="22"/>
        </w:rPr>
        <w:t xml:space="preserve">Record revenue, manageable debt service (though the stock was growing fast), and a growing surplus gave the government fiscal room. The question — which Turcios’s </w:t>
      </w:r>
      <w:r>
        <w:rPr>
          <w:rFonts w:ascii="Arial" w:cs="Arial" w:eastAsia="Arial" w:hAnsi="Arial"/>
          <w:b w:val="false"/>
          <w:bCs w:val="false"/>
          <w:i/>
          <w:iCs/>
          <w:color w:val="333333"/>
          <w:sz w:val="22"/>
          <w:szCs w:val="22"/>
        </w:rPr>
        <w:t xml:space="preserve">Autoritarismo y modernización</w:t>
      </w:r>
      <w:r>
        <w:rPr>
          <w:rFonts w:ascii="Arial" w:cs="Arial" w:eastAsia="Arial" w:hAnsi="Arial"/>
          <w:b w:val="false"/>
          <w:bCs w:val="false"/>
          <w:i w:val="false"/>
          <w:iCs w:val="false"/>
          <w:color w:val="333333"/>
          <w:sz w:val="22"/>
          <w:szCs w:val="22"/>
        </w:rPr>
        <w:t xml:space="preserve"> (Chapter IV) addresses directly — was whether this comfort would survive the coffee price correction that was already visible on the horizon.</w:t>
      </w:r>
    </w:p>
    <w:p>
      <w:pPr>
        <w:spacing w:before="600"/>
      </w:pPr>
    </w:p>
    <w:p>
      <w:pPr>
        <w:spacing w:after="160" w:before="0" w:line="276"/>
        <w:jc w:val="center"/>
      </w:pPr>
      <w:r>
        <w:rPr>
          <w:rFonts w:ascii="Arial" w:cs="Arial" w:eastAsia="Arial" w:hAnsi="Arial"/>
          <w:b w:val="false"/>
          <w:bCs w:val="false"/>
          <w:i w:val="false"/>
          <w:iCs w:val="false"/>
          <w:color w:val="333333"/>
          <w:sz w:val="20"/>
          <w:szCs w:val="20"/>
        </w:rPr>
        <w:t xml:space="preserve">———</w:t>
      </w:r>
    </w:p>
    <w:p>
      <w:pPr>
        <w:spacing w:after="160" w:before="0" w:line="276"/>
        <w:jc w:val="both"/>
      </w:pPr>
      <w:r>
        <w:rPr>
          <w:rFonts w:ascii="Arial" w:cs="Arial" w:eastAsia="Arial" w:hAnsi="Arial"/>
          <w:b/>
          <w:bCs/>
          <w:i w:val="false"/>
          <w:iCs w:val="false"/>
          <w:color w:val="333333"/>
          <w:sz w:val="18"/>
          <w:szCs w:val="18"/>
        </w:rPr>
        <w:t xml:space="preserve">Source: </w:t>
      </w:r>
      <w:r>
        <w:rPr>
          <w:rFonts w:ascii="Arial" w:cs="Arial" w:eastAsia="Arial" w:hAnsi="Arial"/>
          <w:b w:val="false"/>
          <w:bCs w:val="false"/>
          <w:i/>
          <w:iCs/>
          <w:color w:val="333333"/>
          <w:sz w:val="18"/>
          <w:szCs w:val="18"/>
        </w:rPr>
        <w:t xml:space="preserve">Ministerio de Hacienda, Gobierno de El Salvador. Informe Complementario Constitucional, Ejercicio Fiscal de 1957. San Salvador, 20 de marzo de 1958. Signed by Humberto Costa, Ministro de Hacienda.</w:t>
      </w:r>
    </w:p>
    <w:p>
      <w:pPr>
        <w:spacing w:after="160" w:before="0" w:line="276"/>
        <w:jc w:val="both"/>
      </w:pPr>
      <w:r>
        <w:rPr>
          <w:rFonts w:ascii="Arial" w:cs="Arial" w:eastAsia="Arial" w:hAnsi="Arial"/>
          <w:b w:val="false"/>
          <w:bCs w:val="false"/>
          <w:i/>
          <w:iCs/>
          <w:color w:val="333333"/>
          <w:sz w:val="18"/>
          <w:szCs w:val="18"/>
        </w:rPr>
        <w:t xml:space="preserve">Note prepared from scanned primary documents held in the repository: chepito61/El-Salvador-s-Political-Economy-of-Fiscal-Policy-1953-1980.</w:t>
      </w:r>
    </w:p>
    <w:p>
      <w:pPr>
        <w:spacing w:after="160" w:before="0" w:line="276"/>
        <w:jc w:val="both"/>
      </w:pPr>
      <w:r>
        <w:rPr>
          <w:rFonts w:ascii="Arial" w:cs="Arial" w:eastAsia="Arial" w:hAnsi="Arial"/>
          <w:b/>
          <w:bCs/>
          <w:i w:val="false"/>
          <w:iCs w:val="false"/>
          <w:color w:val="CC0000"/>
          <w:sz w:val="18"/>
          <w:szCs w:val="18"/>
        </w:rPr>
        <w:t xml:space="preserve">Note: Estado No. 5 (detailed expenditure by organizational unit) is missing from available scans. Personnel footprint and consolidated security analysis pending.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8"/>
        <w:szCs w:val="18"/>
      </w:rPr>
      <w:t xml:space="preserve">El Salvador — Memorias de Hacienda 1957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2026-03-31T17:28:53.282Z</dcterms:created>
  <dcterms:modified xsi:type="dcterms:W3CDTF">2026-03-31T17:28:53.283Z</dcterms:modified>
</cp:coreProperties>
</file>

<file path=docProps/custom.xml><?xml version="1.0" encoding="utf-8"?>
<Properties xmlns="http://schemas.openxmlformats.org/officeDocument/2006/custom-properties" xmlns:vt="http://schemas.openxmlformats.org/officeDocument/2006/docPropsVTypes"/>
</file>