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before="0" w:line="276"/>
        <w:jc w:val="center"/>
      </w:pPr>
      <w:r>
        <w:rPr>
          <w:rFonts w:ascii="Arial" w:cs="Arial" w:eastAsia="Arial" w:hAnsi="Arial"/>
          <w:b/>
          <w:bCs/>
          <w:i w:val="false"/>
          <w:iCs w:val="false"/>
          <w:color w:val="1F3864"/>
          <w:sz w:val="36"/>
          <w:szCs w:val="36"/>
        </w:rPr>
        <w:t xml:space="preserve">El Salvador: Fiscal Years 1955–1956</w:t>
      </w:r>
    </w:p>
    <w:p>
      <w:pPr>
        <w:spacing w:after="300" w:before="0" w:line="276"/>
        <w:jc w:val="center"/>
      </w:pPr>
      <w:r>
        <w:rPr>
          <w:rFonts w:ascii="Arial" w:cs="Arial" w:eastAsia="Arial" w:hAnsi="Arial"/>
          <w:b w:val="false"/>
          <w:bCs w:val="false"/>
          <w:i/>
          <w:iCs/>
          <w:color w:val="555555"/>
          <w:sz w:val="24"/>
          <w:szCs w:val="24"/>
        </w:rPr>
        <w:t xml:space="preserve">Evidence from the Informe Complementario Constitucional (Biennial)</w:t>
      </w:r>
    </w:p>
    <w:p>
      <w:pPr>
        <w:spacing w:after="200" w:before="0" w:line="276"/>
        <w:jc w:val="center"/>
      </w:pPr>
      <w:r>
        <w:rPr>
          <w:rFonts w:ascii="Arial" w:cs="Arial" w:eastAsia="Arial" w:hAnsi="Arial"/>
          <w:b w:val="false"/>
          <w:bCs w:val="false"/>
          <w:i w:val="false"/>
          <w:iCs w:val="false"/>
          <w:color w:val="777777"/>
          <w:sz w:val="22"/>
          <w:szCs w:val="22"/>
        </w:rPr>
        <w:t xml:space="preserve">Working Note — Based on Primary Sources</w:t>
      </w:r>
    </w:p>
    <w:p>
      <w:pPr>
        <w:spacing w:after="100" w:before="0" w:line="276"/>
        <w:jc w:val="center"/>
      </w:pPr>
      <w:r>
        <w:rPr>
          <w:rFonts w:ascii="Arial" w:cs="Arial" w:eastAsia="Arial" w:hAnsi="Arial"/>
          <w:b w:val="false"/>
          <w:bCs w:val="false"/>
          <w:i/>
          <w:iCs/>
          <w:color w:val="777777"/>
          <w:sz w:val="20"/>
          <w:szCs w:val="20"/>
        </w:rPr>
        <w:t xml:space="preserve">Ministerio de Hacienda, Gobierno de El Salvador</w:t>
      </w:r>
    </w:p>
    <w:p>
      <w:pPr>
        <w:spacing w:after="160" w:before="0" w:line="276"/>
        <w:jc w:val="center"/>
      </w:pPr>
      <w:r>
        <w:rPr>
          <w:rFonts w:ascii="Arial" w:cs="Arial" w:eastAsia="Arial" w:hAnsi="Arial"/>
          <w:b w:val="false"/>
          <w:bCs w:val="false"/>
          <w:i w:val="false"/>
          <w:iCs w:val="false"/>
          <w:color w:val="777777"/>
          <w:sz w:val="22"/>
          <w:szCs w:val="22"/>
        </w:rPr>
        <w:t xml:space="preserve">March 2026</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Political Context</w:t>
      </w:r>
    </w:p>
    <w:p>
      <w:pPr>
        <w:spacing w:after="160" w:before="0" w:line="276"/>
        <w:jc w:val="both"/>
      </w:pPr>
      <w:r>
        <w:rPr>
          <w:rFonts w:ascii="Arial" w:cs="Arial" w:eastAsia="Arial" w:hAnsi="Arial"/>
          <w:b w:val="false"/>
          <w:bCs w:val="false"/>
          <w:i w:val="false"/>
          <w:iCs w:val="false"/>
          <w:color w:val="333333"/>
          <w:sz w:val="22"/>
          <w:szCs w:val="22"/>
        </w:rPr>
        <w:t xml:space="preserve">President: Colonel Óscar Osorio (1950–1956), transitioning to Colonel José María Lemus (1956–1960). Both represented the PRUD (Partido Revolucionario de Unificación Democrática). Military government. The biennial budget period (January 19, 1955 through December 31, 1956) was designed to bridge this transition, signaling continuity in the developmental program.</w:t>
      </w:r>
    </w:p>
    <w:p>
      <w:pPr>
        <w:spacing w:after="160" w:before="0" w:line="276"/>
        <w:jc w:val="both"/>
      </w:pPr>
      <w:r>
        <w:rPr>
          <w:rFonts w:ascii="Arial" w:cs="Arial" w:eastAsia="Arial" w:hAnsi="Arial"/>
          <w:b w:val="false"/>
          <w:bCs w:val="false"/>
          <w:i w:val="false"/>
          <w:iCs w:val="false"/>
          <w:color w:val="333333"/>
          <w:sz w:val="22"/>
          <w:szCs w:val="22"/>
        </w:rPr>
        <w:t xml:space="preserve">Minister of Finance: </w:t>
      </w:r>
      <w:r>
        <w:rPr>
          <w:rFonts w:ascii="Arial" w:cs="Arial" w:eastAsia="Arial" w:hAnsi="Arial"/>
          <w:b/>
          <w:bCs/>
          <w:i w:val="false"/>
          <w:iCs w:val="false"/>
          <w:color w:val="333333"/>
          <w:sz w:val="22"/>
          <w:szCs w:val="22"/>
        </w:rPr>
        <w:t xml:space="preserve">Enrique A. Porras</w:t>
      </w:r>
      <w:r>
        <w:rPr>
          <w:rFonts w:ascii="Arial" w:cs="Arial" w:eastAsia="Arial" w:hAnsi="Arial"/>
          <w:b w:val="false"/>
          <w:bCs w:val="false"/>
          <w:i w:val="false"/>
          <w:iCs w:val="false"/>
          <w:color w:val="333333"/>
          <w:sz w:val="22"/>
          <w:szCs w:val="22"/>
        </w:rPr>
        <w:t xml:space="preserve"> (through 1955), then </w:t>
      </w:r>
      <w:r>
        <w:rPr>
          <w:rFonts w:ascii="Arial" w:cs="Arial" w:eastAsia="Arial" w:hAnsi="Arial"/>
          <w:b/>
          <w:bCs/>
          <w:i w:val="false"/>
          <w:iCs w:val="false"/>
          <w:color w:val="333333"/>
          <w:sz w:val="22"/>
          <w:szCs w:val="22"/>
        </w:rPr>
        <w:t xml:space="preserve">Humberto Costa</w:t>
      </w:r>
      <w:r>
        <w:rPr>
          <w:rFonts w:ascii="Arial" w:cs="Arial" w:eastAsia="Arial" w:hAnsi="Arial"/>
          <w:b w:val="false"/>
          <w:bCs w:val="false"/>
          <w:i w:val="false"/>
          <w:iCs w:val="false"/>
          <w:color w:val="333333"/>
          <w:sz w:val="22"/>
          <w:szCs w:val="22"/>
        </w:rPr>
        <w:t xml:space="preserve"> (from 1956; signed the Informe Complementario on March 26, 1957). Prepared by </w:t>
      </w:r>
      <w:r>
        <w:rPr>
          <w:rFonts w:ascii="Arial" w:cs="Arial" w:eastAsia="Arial" w:hAnsi="Arial"/>
          <w:b/>
          <w:bCs/>
          <w:i w:val="false"/>
          <w:iCs w:val="false"/>
          <w:color w:val="333333"/>
          <w:sz w:val="22"/>
          <w:szCs w:val="22"/>
        </w:rPr>
        <w:t xml:space="preserve">Mariano Novoa Flores</w:t>
      </w:r>
      <w:r>
        <w:rPr>
          <w:rFonts w:ascii="Arial" w:cs="Arial" w:eastAsia="Arial" w:hAnsi="Arial"/>
          <w:b w:val="false"/>
          <w:bCs w:val="false"/>
          <w:i w:val="false"/>
          <w:iCs w:val="false"/>
          <w:color w:val="333333"/>
          <w:sz w:val="22"/>
          <w:szCs w:val="22"/>
        </w:rPr>
        <w:t xml:space="preserve">, Jefe del Departamento de Contabilidad Central.</w:t>
      </w:r>
    </w:p>
    <w:p>
      <w:pPr>
        <w:spacing w:after="160" w:before="0" w:line="276"/>
        <w:jc w:val="both"/>
      </w:pPr>
      <w:r>
        <w:rPr>
          <w:rFonts w:ascii="Arial" w:cs="Arial" w:eastAsia="Arial" w:hAnsi="Arial"/>
          <w:b w:val="false"/>
          <w:bCs w:val="false"/>
          <w:i w:val="false"/>
          <w:iCs w:val="false"/>
          <w:color w:val="333333"/>
          <w:sz w:val="22"/>
          <w:szCs w:val="22"/>
        </w:rPr>
        <w:t xml:space="preserve">The Osorio government in 1955 was entering its final year, with the developmental program at full stretch: infrastructure investment through the Carretera del Litoral (IBRD loan), the Valle de La Esperanza rehabilitation, and continued expansion of education and health spending. The transition to Lemus would test whether the fiscal model could survive a less favorable external environment — the 1955 revenue decline, the first since 1949, was an early warning signal.</w:t>
      </w:r>
    </w:p>
    <w:p>
      <w:pPr>
        <w:spacing w:after="160" w:before="0" w:line="276"/>
        <w:jc w:val="both"/>
      </w:pPr>
      <w:r>
        <w:rPr>
          <w:rFonts w:ascii="Arial" w:cs="Arial" w:eastAsia="Arial" w:hAnsi="Arial"/>
          <w:b w:val="false"/>
          <w:bCs w:val="false"/>
          <w:i w:val="false"/>
          <w:iCs w:val="false"/>
          <w:color w:val="333333"/>
          <w:sz w:val="22"/>
          <w:szCs w:val="22"/>
        </w:rPr>
        <w:t xml:space="preserve">Currency: US$1.00 = ₡2.50 (colones). Fixed exchange rate maintained throughout the period.</w:t>
      </w:r>
    </w:p>
    <w:p>
      <w:pPr>
        <w:pStyle w:val="Heading1"/>
        <w:spacing w:after="200" w:before="360" w:line="276"/>
        <w:jc w:val="both"/>
      </w:pPr>
      <w:r>
        <w:rPr>
          <w:rFonts w:ascii="Arial" w:cs="Arial" w:eastAsia="Arial" w:hAnsi="Arial"/>
          <w:b/>
          <w:bCs/>
          <w:i w:val="false"/>
          <w:iCs w:val="false"/>
          <w:color w:val="1F3864"/>
          <w:sz w:val="32"/>
          <w:szCs w:val="32"/>
        </w:rPr>
        <w:t xml:space="preserve">Introduction</w:t>
      </w:r>
    </w:p>
    <w:p>
      <w:pPr>
        <w:spacing w:after="160" w:before="0" w:line="276"/>
        <w:jc w:val="both"/>
      </w:pPr>
      <w:r>
        <w:rPr>
          <w:rFonts w:ascii="Arial" w:cs="Arial" w:eastAsia="Arial" w:hAnsi="Arial"/>
          <w:b w:val="false"/>
          <w:bCs w:val="false"/>
          <w:i w:val="false"/>
          <w:iCs w:val="false"/>
          <w:color w:val="333333"/>
          <w:sz w:val="22"/>
          <w:szCs w:val="22"/>
        </w:rPr>
        <w:t xml:space="preserve">This note presents the fiscal data for El Salvador’s biennial fiscal period 1955–1956, drawn from the Informe Complementario Constitucional (Memoria de Hacienda) submitted to the Legislative Assembly under Article 78 of the Constitution. The biennial format is unique in the series: the budget law (Ley de Presupuesto General) was enacted to cover both years as a single exercise, reflecting the political decision to present the Osorio-to-Lemus transition as administrative continuity rather than a change of government.</w:t>
      </w:r>
    </w:p>
    <w:p>
      <w:pPr>
        <w:spacing w:after="160" w:before="0" w:line="276"/>
        <w:jc w:val="both"/>
      </w:pPr>
      <w:r>
        <w:rPr>
          <w:rFonts w:ascii="Arial" w:cs="Arial" w:eastAsia="Arial" w:hAnsi="Arial"/>
          <w:b w:val="false"/>
          <w:bCs w:val="false"/>
          <w:i w:val="false"/>
          <w:iCs w:val="false"/>
          <w:color w:val="333333"/>
          <w:sz w:val="22"/>
          <w:szCs w:val="22"/>
        </w:rPr>
        <w:t xml:space="preserve">The document comprises four parts: the narrative body (Part A, 19 pages), detailed revenue tables (Part B, 30 pages with Estados Nos. 2, 2-A, 2-B, and 3), detailed expenditure tables (Part C, 42 pages with Estados Nos. 5, 5-A, and 5-B), and debt tables (Part D, 14 pages with Estados Nos. 20–24). This note synthesizes the primary data and connects it to the analytical framework developed in prior notes for 1952–1954 and to the broader political-economy narrative drawn from William Pleites’s account of the agro-export and import-substitution models.</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1. Revenue Structure and Performance</w:t>
      </w:r>
    </w:p>
    <w:p>
      <w:pPr>
        <w:pStyle w:val="Heading2"/>
        <w:spacing w:after="160" w:before="300" w:line="276"/>
        <w:jc w:val="both"/>
      </w:pPr>
      <w:r>
        <w:rPr>
          <w:rFonts w:ascii="Arial" w:cs="Arial" w:eastAsia="Arial" w:hAnsi="Arial"/>
          <w:b/>
          <w:bCs/>
          <w:i w:val="false"/>
          <w:iCs w:val="false"/>
          <w:color w:val="2E5090"/>
          <w:sz w:val="28"/>
          <w:szCs w:val="28"/>
        </w:rPr>
        <w:t xml:space="preserve">1.1 Overall Revenue</w:t>
      </w:r>
    </w:p>
    <w:p>
      <w:pPr>
        <w:spacing w:after="160" w:before="0" w:line="276"/>
        <w:jc w:val="both"/>
      </w:pPr>
      <w:r>
        <w:rPr>
          <w:rFonts w:ascii="Arial" w:cs="Arial" w:eastAsia="Arial" w:hAnsi="Arial"/>
          <w:b w:val="false"/>
          <w:bCs w:val="false"/>
          <w:i w:val="false"/>
          <w:iCs w:val="false"/>
          <w:color w:val="333333"/>
          <w:sz w:val="22"/>
          <w:szCs w:val="22"/>
        </w:rPr>
        <w:t xml:space="preserve">Total revenues collected and accrued (rentas percibidas y devengadas) for the biennial 1955–1956 reached </w:t>
      </w:r>
      <w:r>
        <w:rPr>
          <w:rFonts w:ascii="Arial" w:cs="Arial" w:eastAsia="Arial" w:hAnsi="Arial"/>
          <w:b/>
          <w:bCs/>
          <w:i w:val="false"/>
          <w:iCs w:val="false"/>
          <w:color w:val="333333"/>
          <w:sz w:val="22"/>
          <w:szCs w:val="22"/>
        </w:rPr>
        <w:t xml:space="preserve">₡335,920,654.93</w:t>
      </w:r>
      <w:r>
        <w:rPr>
          <w:rFonts w:ascii="Arial" w:cs="Arial" w:eastAsia="Arial" w:hAnsi="Arial"/>
          <w:b w:val="false"/>
          <w:bCs w:val="false"/>
          <w:i w:val="false"/>
          <w:iCs w:val="false"/>
          <w:color w:val="333333"/>
          <w:sz w:val="22"/>
          <w:szCs w:val="22"/>
        </w:rPr>
        <w:t xml:space="preserve">, exceeding the budget estimate of ₡297,031,934.00 by ₡38,888,720.93 — a 13.1% positive variance. On a per-year basis:</w:t>
      </w:r>
    </w:p>
    <w:p>
      <w:pPr>
        <w:spacing w:after="80" w:before="0" w:line="276"/>
        <w:jc w:val="both"/>
      </w:pPr>
      <w:r>
        <w:rPr>
          <w:rFonts w:ascii="Arial" w:cs="Arial" w:eastAsia="Arial" w:hAnsi="Arial"/>
          <w:b/>
          <w:bCs/>
          <w:i w:val="false"/>
          <w:iCs w:val="false"/>
          <w:color w:val="333333"/>
          <w:sz w:val="20"/>
          <w:szCs w:val="20"/>
        </w:rPr>
        <w:t xml:space="preserve">Table 1. Revenue Performance, 1955 and 1956</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1955</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1956</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Biennial</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Revenue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165.0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170.9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335.9</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Estimated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155.5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141.5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297.0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Variance (%)</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+ 6.1%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Impuestos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152.7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157.8</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310.5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Impuestos as % of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92.3%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92.4%</w:t>
            </w:r>
          </w:p>
        </w:tc>
      </w:tr>
    </w:tbl>
    <w:p>
      <w:pPr>
        <w:spacing w:after="240" w:before="40" w:line="276"/>
        <w:jc w:val="both"/>
      </w:pPr>
      <w:r>
        <w:rPr>
          <w:rFonts w:ascii="Arial" w:cs="Arial" w:eastAsia="Arial" w:hAnsi="Arial"/>
          <w:b w:val="false"/>
          <w:bCs w:val="false"/>
          <w:i/>
          <w:iCs/>
          <w:color w:val="333333"/>
          <w:sz w:val="18"/>
          <w:szCs w:val="18"/>
        </w:rPr>
        <w:t xml:space="preserve">Source: Informe Complementario Constitucional, Ejercicio Fiscal 1955–1956, Estados Nos. 2, 2-A, 2-B.</w:t>
      </w:r>
    </w:p>
    <w:p>
      <w:pPr>
        <w:spacing w:after="160" w:before="0" w:line="276"/>
        <w:jc w:val="both"/>
      </w:pPr>
      <w:r>
        <w:rPr>
          <w:rFonts w:ascii="Arial" w:cs="Arial" w:eastAsia="Arial" w:hAnsi="Arial"/>
          <w:b w:val="false"/>
          <w:bCs w:val="false"/>
          <w:i w:val="false"/>
          <w:iCs w:val="false"/>
          <w:color w:val="333333"/>
          <w:sz w:val="22"/>
          <w:szCs w:val="22"/>
        </w:rPr>
        <w:t xml:space="preserve">A critical observation: </w:t>
      </w:r>
      <w:r>
        <w:rPr>
          <w:rFonts w:ascii="Arial" w:cs="Arial" w:eastAsia="Arial" w:hAnsi="Arial"/>
          <w:b/>
          <w:bCs/>
          <w:i w:val="false"/>
          <w:iCs w:val="false"/>
          <w:color w:val="333333"/>
          <w:sz w:val="22"/>
          <w:szCs w:val="22"/>
        </w:rPr>
        <w:t xml:space="preserve">1955 was the first year of revenue decline since 1949</w:t>
      </w:r>
      <w:r>
        <w:rPr>
          <w:rFonts w:ascii="Arial" w:cs="Arial" w:eastAsia="Arial" w:hAnsi="Arial"/>
          <w:b w:val="false"/>
          <w:bCs w:val="false"/>
          <w:i w:val="false"/>
          <w:iCs w:val="false"/>
          <w:color w:val="333333"/>
          <w:sz w:val="22"/>
          <w:szCs w:val="22"/>
        </w:rPr>
        <w:t xml:space="preserve">. Total revenue fell from ₡167.4 million in 1954 to ₡165.0 million in 1955 — a modest decline of 1.4%, but the first interruption of six consecutive years of growth. Revenue recovered in 1956 to ₡170.9 million, setting a new record, but the 1955 dip confirmed the structural vulnerability identified in the 1952–1953 fiscal diagnostic.</w:t>
      </w:r>
    </w:p>
    <w:p>
      <w:pPr>
        <w:pStyle w:val="Heading2"/>
        <w:spacing w:after="160" w:before="300" w:line="276"/>
        <w:jc w:val="both"/>
      </w:pPr>
      <w:r>
        <w:rPr>
          <w:rFonts w:ascii="Arial" w:cs="Arial" w:eastAsia="Arial" w:hAnsi="Arial"/>
          <w:b/>
          <w:bCs/>
          <w:i w:val="false"/>
          <w:iCs w:val="false"/>
          <w:color w:val="2E5090"/>
          <w:sz w:val="28"/>
          <w:szCs w:val="28"/>
        </w:rPr>
        <w:t xml:space="preserve">1.2 Revenue Composition</w:t>
      </w:r>
    </w:p>
    <w:p>
      <w:pPr>
        <w:spacing w:after="80" w:before="0" w:line="276"/>
        <w:jc w:val="both"/>
      </w:pPr>
      <w:r>
        <w:rPr>
          <w:rFonts w:ascii="Arial" w:cs="Arial" w:eastAsia="Arial" w:hAnsi="Arial"/>
          <w:b/>
          <w:bCs/>
          <w:i w:val="false"/>
          <w:iCs w:val="false"/>
          <w:color w:val="333333"/>
          <w:sz w:val="20"/>
          <w:szCs w:val="20"/>
        </w:rPr>
        <w:t xml:space="preserve">Table 2. Revenue Composition, Biennial 1955–1956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Revenue Source</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 (₡M)</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of Total</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Derechos de Importación</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114.5</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34.1%</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Derechos de Exportación</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92.5</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27.5%</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Impuestos Manufacturados y Consumo</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54.0</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16.1%</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Impuesto sobre la Renta y Vialidad</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13.6</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4.1%</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Especies Fiscales e Imp. por Servicios</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4.1</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Other taxes</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31.8</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9.5%</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Non-tax revenue</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25.4</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7.6%</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335.9</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100.0%</w:t>
            </w:r>
          </w:p>
        </w:tc>
      </w:tr>
    </w:tbl>
    <w:p>
      <w:pPr>
        <w:spacing w:after="240" w:before="40" w:line="276"/>
        <w:jc w:val="both"/>
      </w:pPr>
      <w:r>
        <w:rPr>
          <w:rFonts w:ascii="Arial" w:cs="Arial" w:eastAsia="Arial" w:hAnsi="Arial"/>
          <w:b w:val="false"/>
          <w:bCs w:val="false"/>
          <w:i/>
          <w:iCs/>
          <w:color w:val="333333"/>
          <w:sz w:val="18"/>
          <w:szCs w:val="18"/>
        </w:rPr>
        <w:t xml:space="preserve">Source: Estado No. 2.</w:t>
      </w:r>
    </w:p>
    <w:p>
      <w:pPr>
        <w:pStyle w:val="Heading2"/>
        <w:spacing w:after="160" w:before="300" w:line="276"/>
        <w:jc w:val="both"/>
      </w:pPr>
      <w:r>
        <w:rPr>
          <w:rFonts w:ascii="Arial" w:cs="Arial" w:eastAsia="Arial" w:hAnsi="Arial"/>
          <w:b/>
          <w:bCs/>
          <w:i w:val="false"/>
          <w:iCs w:val="false"/>
          <w:color w:val="2E5090"/>
          <w:sz w:val="28"/>
          <w:szCs w:val="28"/>
        </w:rPr>
        <w:t xml:space="preserve">1.3 The Tax Instruments Behind the Numbers: Pleites’s Contribution</w:t>
      </w:r>
    </w:p>
    <w:p>
      <w:pPr>
        <w:pStyle w:val="Heading3"/>
        <w:spacing w:after="120" w:before="240" w:line="276"/>
        <w:jc w:val="both"/>
      </w:pPr>
      <w:r>
        <w:rPr>
          <w:rFonts w:ascii="Arial" w:cs="Arial" w:eastAsia="Arial" w:hAnsi="Arial"/>
          <w:b/>
          <w:bCs/>
          <w:i w:val="false"/>
          <w:iCs w:val="false"/>
          <w:color w:val="404040"/>
          <w:sz w:val="24"/>
          <w:szCs w:val="24"/>
        </w:rPr>
        <w:t xml:space="preserve">1.3.1 The Progressive Coffee Export Tax (Decreto 836, September 1950)</w:t>
      </w:r>
    </w:p>
    <w:p>
      <w:pPr>
        <w:spacing w:after="160" w:before="0" w:line="276"/>
        <w:jc w:val="both"/>
      </w:pPr>
      <w:r>
        <w:rPr>
          <w:rFonts w:ascii="Arial" w:cs="Arial" w:eastAsia="Arial" w:hAnsi="Arial"/>
          <w:b w:val="false"/>
          <w:bCs w:val="false"/>
          <w:i w:val="false"/>
          <w:iCs w:val="false"/>
          <w:color w:val="333333"/>
          <w:sz w:val="22"/>
          <w:szCs w:val="22"/>
        </w:rPr>
        <w:t xml:space="preserve">The ₡92.5 million collected from coffee export duties over the biennium (₡49.0M in 1955, ₡43.5M in 1956) was the direct product of the Consejo de Gobierno Revolucionario’s Decreto 836 of September 1950. This progressive levy established a sliding scale that captured an increasing share of export revenue as international prices rose:</w:t>
      </w:r>
    </w:p>
    <w:p>
      <w:pPr>
        <w:spacing w:after="80" w:before="0" w:line="276"/>
        <w:jc w:val="both"/>
      </w:pPr>
      <w:r>
        <w:rPr>
          <w:rFonts w:ascii="Arial" w:cs="Arial" w:eastAsia="Arial" w:hAnsi="Arial"/>
          <w:b/>
          <w:bCs/>
          <w:i w:val="false"/>
          <w:iCs w:val="false"/>
          <w:color w:val="333333"/>
          <w:sz w:val="20"/>
          <w:szCs w:val="20"/>
        </w:rPr>
        <w:t xml:space="preserve">Table 2A. Progressive Coffee Export Tax Schedule (Decreto 836, 1950)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Coffee Price (per quintal)</w:t>
            </w:r>
          </w:p>
        </w:tc>
        <w:tc>
          <w:tcPr>
            <w:tcW w:type="dxa" w:w="4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Tax Rate (colones/quintal)</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Up to ₡50</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Exempt</w:t>
            </w:r>
          </w:p>
        </w:tc>
      </w:tr>
      <w:tr>
        <w:tc>
          <w:tcPr>
            <w:tcW w:type="dxa" w:w="5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₡50.01 to ₡55</w:t>
            </w:r>
          </w:p>
        </w:tc>
        <w:tc>
          <w:tcPr>
            <w:tcW w:type="dxa" w:w="4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₡2.50</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₡55.01 to ₡65</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₡5.00</w:t>
            </w:r>
          </w:p>
        </w:tc>
      </w:tr>
      <w:tr>
        <w:tc>
          <w:tcPr>
            <w:tcW w:type="dxa" w:w="5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₡65.01 to ₡75</w:t>
            </w:r>
          </w:p>
        </w:tc>
        <w:tc>
          <w:tcPr>
            <w:tcW w:type="dxa" w:w="4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₡8.00</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₡75.01 to ₡85</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₡12.00</w:t>
            </w:r>
          </w:p>
        </w:tc>
      </w:tr>
      <w:tr>
        <w:tc>
          <w:tcPr>
            <w:tcW w:type="dxa" w:w="5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₡85.01 to ₡95</w:t>
            </w:r>
          </w:p>
        </w:tc>
        <w:tc>
          <w:tcPr>
            <w:tcW w:type="dxa" w:w="4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₡16.00</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₡95.01 to ₡105</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₡20.00</w:t>
            </w:r>
          </w:p>
        </w:tc>
      </w:tr>
      <w:tr>
        <w:tc>
          <w:tcPr>
            <w:tcW w:type="dxa" w:w="5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₡105.01 to ₡115</w:t>
            </w:r>
          </w:p>
        </w:tc>
        <w:tc>
          <w:tcPr>
            <w:tcW w:type="dxa" w:w="4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₡25.00</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Over ₡115</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₡30.00</w:t>
            </w:r>
          </w:p>
        </w:tc>
      </w:tr>
    </w:tbl>
    <w:p>
      <w:pPr>
        <w:spacing w:after="240" w:before="40" w:line="276"/>
        <w:jc w:val="both"/>
      </w:pPr>
      <w:r>
        <w:rPr>
          <w:rFonts w:ascii="Arial" w:cs="Arial" w:eastAsia="Arial" w:hAnsi="Arial"/>
          <w:b w:val="false"/>
          <w:bCs w:val="false"/>
          <w:i/>
          <w:iCs/>
          <w:color w:val="333333"/>
          <w:sz w:val="18"/>
          <w:szCs w:val="18"/>
        </w:rPr>
        <w:t xml:space="preserve">Source: Pleites, Chapter 2A, from Decreto 836, Diario Oficial 200, tomo 149, September 13, 1950.</w:t>
      </w:r>
    </w:p>
    <w:p>
      <w:pPr>
        <w:spacing w:after="160" w:before="0" w:line="276"/>
        <w:jc w:val="both"/>
      </w:pPr>
      <w:r>
        <w:rPr>
          <w:rFonts w:ascii="Arial" w:cs="Arial" w:eastAsia="Arial" w:hAnsi="Arial"/>
          <w:b w:val="false"/>
          <w:bCs w:val="false"/>
          <w:i w:val="false"/>
          <w:iCs w:val="false"/>
          <w:color w:val="333333"/>
          <w:sz w:val="22"/>
          <w:szCs w:val="22"/>
        </w:rPr>
        <w:t xml:space="preserve">The decline in export tax revenue from ₡46.2M (1954) to an average of ₡46.3M/year in the biennium, with 1956 falling to ₡43.5M, reflected the softening of coffee prices after the 1954 peak. Under the progressive structure, even modest price declines translated into disproportionate revenue losses because lower prices moved collections into lower tax brackets. This is the mechanism through which the structural vulnerability of the revenue base operated in practice.</w:t>
      </w:r>
    </w:p>
    <w:p>
      <w:pPr>
        <w:spacing w:after="160" w:before="0" w:line="276"/>
        <w:jc w:val="both"/>
      </w:pPr>
      <w:r>
        <w:rPr>
          <w:rFonts w:ascii="Arial" w:cs="Arial" w:eastAsia="Arial" w:hAnsi="Arial"/>
          <w:b w:val="false"/>
          <w:bCs w:val="false"/>
          <w:i w:val="false"/>
          <w:iCs w:val="false"/>
          <w:color w:val="333333"/>
          <w:sz w:val="22"/>
          <w:szCs w:val="22"/>
        </w:rPr>
        <w:t xml:space="preserve">Crucially, Decreto 836 also stipulated that while the progressive export levy was in force, </w:t>
      </w:r>
      <w:r>
        <w:rPr>
          <w:rFonts w:ascii="Arial" w:cs="Arial" w:eastAsia="Arial" w:hAnsi="Arial"/>
          <w:b/>
          <w:bCs/>
          <w:i w:val="false"/>
          <w:iCs w:val="false"/>
          <w:color w:val="333333"/>
          <w:sz w:val="22"/>
          <w:szCs w:val="22"/>
        </w:rPr>
        <w:t xml:space="preserve">coffee producers were exempted from the income tax on income derived from coffee</w:t>
      </w:r>
      <w:r>
        <w:rPr>
          <w:rFonts w:ascii="Arial" w:cs="Arial" w:eastAsia="Arial" w:hAnsi="Arial"/>
          <w:b w:val="false"/>
          <w:bCs w:val="false"/>
          <w:i w:val="false"/>
          <w:iCs w:val="false"/>
          <w:color w:val="333333"/>
          <w:sz w:val="22"/>
          <w:szCs w:val="22"/>
        </w:rPr>
        <w:t xml:space="preserve">. This exemption explains why the income tax remained structurally constrained despite the 1951 reform’s high nominal rates.</w:t>
      </w:r>
    </w:p>
    <w:p>
      <w:pPr>
        <w:pStyle w:val="Heading3"/>
        <w:spacing w:after="120" w:before="240" w:line="276"/>
        <w:jc w:val="both"/>
      </w:pPr>
      <w:r>
        <w:rPr>
          <w:rFonts w:ascii="Arial" w:cs="Arial" w:eastAsia="Arial" w:hAnsi="Arial"/>
          <w:b/>
          <w:bCs/>
          <w:i w:val="false"/>
          <w:iCs w:val="false"/>
          <w:color w:val="404040"/>
          <w:sz w:val="24"/>
          <w:szCs w:val="24"/>
        </w:rPr>
        <w:t xml:space="preserve">1.3.2 The 1951 Income Tax Reform (Decreto 510)</w:t>
      </w:r>
    </w:p>
    <w:p>
      <w:pPr>
        <w:spacing w:after="160" w:before="0" w:line="276"/>
        <w:jc w:val="both"/>
      </w:pPr>
      <w:r>
        <w:rPr>
          <w:rFonts w:ascii="Arial" w:cs="Arial" w:eastAsia="Arial" w:hAnsi="Arial"/>
          <w:b w:val="false"/>
          <w:bCs w:val="false"/>
          <w:i w:val="false"/>
          <w:iCs w:val="false"/>
          <w:color w:val="333333"/>
          <w:sz w:val="22"/>
          <w:szCs w:val="22"/>
        </w:rPr>
        <w:t xml:space="preserve">The income tax’s modest ₡13.6 million biennial collection (only 4.1% of total revenue, down from 6.4% in 1954) must be understood in light of the 1951 reform’s dual structure:</w:t>
      </w:r>
    </w:p>
    <w:p>
      <w:pPr>
        <w:spacing w:after="160" w:before="0" w:line="276"/>
        <w:jc w:val="both"/>
      </w:pPr>
      <w:r>
        <w:rPr>
          <w:rFonts w:ascii="Arial" w:cs="Arial" w:eastAsia="Arial" w:hAnsi="Arial"/>
          <w:b/>
          <w:bCs/>
          <w:i w:val="false"/>
          <w:iCs w:val="false"/>
          <w:color w:val="333333"/>
          <w:sz w:val="22"/>
          <w:szCs w:val="22"/>
        </w:rPr>
        <w:t xml:space="preserve">For individuals (personas naturales): </w:t>
      </w:r>
      <w:r>
        <w:rPr>
          <w:rFonts w:ascii="Arial" w:cs="Arial" w:eastAsia="Arial" w:hAnsi="Arial"/>
          <w:b w:val="false"/>
          <w:bCs w:val="false"/>
          <w:i w:val="false"/>
          <w:iCs w:val="false"/>
          <w:color w:val="333333"/>
          <w:sz w:val="22"/>
          <w:szCs w:val="22"/>
        </w:rPr>
        <w:t xml:space="preserve">28 brackets of annual income, with rates rising from 3% on income up to ₡1,000 to 44% on income exceeding ₡150,000. A genuinely progressive schedule by the standards of the era.</w:t>
      </w:r>
    </w:p>
    <w:p>
      <w:pPr>
        <w:spacing w:after="160" w:before="0" w:line="276"/>
        <w:jc w:val="both"/>
      </w:pPr>
      <w:r>
        <w:rPr>
          <w:rFonts w:ascii="Arial" w:cs="Arial" w:eastAsia="Arial" w:hAnsi="Arial"/>
          <w:b/>
          <w:bCs/>
          <w:i w:val="false"/>
          <w:iCs w:val="false"/>
          <w:color w:val="333333"/>
          <w:sz w:val="22"/>
          <w:szCs w:val="22"/>
        </w:rPr>
        <w:t xml:space="preserve">For corporations (personas jurídicas): </w:t>
      </w:r>
      <w:r>
        <w:rPr>
          <w:rFonts w:ascii="Arial" w:cs="Arial" w:eastAsia="Arial" w:hAnsi="Arial"/>
          <w:b w:val="false"/>
          <w:bCs w:val="false"/>
          <w:i w:val="false"/>
          <w:iCs w:val="false"/>
          <w:color w:val="333333"/>
          <w:sz w:val="22"/>
          <w:szCs w:val="22"/>
        </w:rPr>
        <w:t xml:space="preserve">Only two brackets — 2.5% on income up to ₡5,000, and ₡25 plus 5% on income exceeding ₡5,000. The maximum corporate rate of 5% was one-ninth of the top individual rate. As Pleites argues, this was not an oversight but a deliberate design to protect the industrialization program: the sociedades anónimas through which the emerging industrial class operated faced minimal taxation.</w:t>
      </w:r>
    </w:p>
    <w:p>
      <w:pPr>
        <w:spacing w:after="160" w:before="0" w:line="276"/>
        <w:jc w:val="both"/>
      </w:pPr>
      <w:r>
        <w:rPr>
          <w:rFonts w:ascii="Arial" w:cs="Arial" w:eastAsia="Arial" w:hAnsi="Arial"/>
          <w:b w:val="false"/>
          <w:bCs w:val="false"/>
          <w:i w:val="false"/>
          <w:iCs w:val="false"/>
          <w:color w:val="333333"/>
          <w:sz w:val="22"/>
          <w:szCs w:val="22"/>
        </w:rPr>
        <w:t xml:space="preserve">The combined effect of the coffee grower exemption and the low corporate rate meant that the income tax fell primarily on salaried employees and small businesses — the groups least able to avoid it. The declining share of income tax revenue from 6.4% (1954) to 4.1% (1955–1956 average) reflects this structural constraint: as coffee prices softened and export tax revenue fell, the income tax could not compensate because the most important income earners were exempt from it.</w:t>
      </w:r>
    </w:p>
    <w:p>
      <w:pPr>
        <w:pStyle w:val="Heading2"/>
        <w:spacing w:after="160" w:before="300" w:line="276"/>
        <w:jc w:val="both"/>
      </w:pPr>
      <w:r>
        <w:rPr>
          <w:rFonts w:ascii="Arial" w:cs="Arial" w:eastAsia="Arial" w:hAnsi="Arial"/>
          <w:b/>
          <w:bCs/>
          <w:i w:val="false"/>
          <w:iCs w:val="false"/>
          <w:color w:val="2E5090"/>
          <w:sz w:val="28"/>
          <w:szCs w:val="28"/>
        </w:rPr>
        <w:t xml:space="preserve">1.4 Revenue Analysis</w:t>
      </w:r>
    </w:p>
    <w:p>
      <w:pPr>
        <w:spacing w:after="160" w:before="0" w:line="276"/>
        <w:jc w:val="both"/>
      </w:pPr>
      <w:r>
        <w:rPr>
          <w:rFonts w:ascii="Arial" w:cs="Arial" w:eastAsia="Arial" w:hAnsi="Arial"/>
          <w:b w:val="false"/>
          <w:bCs w:val="false"/>
          <w:i w:val="false"/>
          <w:iCs w:val="false"/>
          <w:color w:val="333333"/>
          <w:sz w:val="22"/>
          <w:szCs w:val="22"/>
        </w:rPr>
        <w:t xml:space="preserve">With the Pleites context in mind, several features of the 1955–1956 revenue structure stand out:</w:t>
      </w:r>
    </w:p>
    <w:p>
      <w:pPr>
        <w:spacing w:after="160" w:before="0" w:line="276"/>
        <w:jc w:val="both"/>
      </w:pPr>
      <w:r>
        <w:rPr>
          <w:rFonts w:ascii="Arial" w:cs="Arial" w:eastAsia="Arial" w:hAnsi="Arial"/>
          <w:b/>
          <w:bCs/>
          <w:i w:val="false"/>
          <w:iCs w:val="false"/>
          <w:color w:val="333333"/>
          <w:sz w:val="22"/>
          <w:szCs w:val="22"/>
        </w:rPr>
        <w:t xml:space="preserve">Tax concentration worsened. </w:t>
      </w:r>
      <w:r>
        <w:rPr>
          <w:rFonts w:ascii="Arial" w:cs="Arial" w:eastAsia="Arial" w:hAnsi="Arial"/>
          <w:b w:val="false"/>
          <w:bCs w:val="false"/>
          <w:i w:val="false"/>
          <w:iCs w:val="false"/>
          <w:color w:val="333333"/>
          <w:sz w:val="22"/>
          <w:szCs w:val="22"/>
        </w:rPr>
        <w:t xml:space="preserve">Impuestos accounted for 92.4% of total revenue, up from 86.7% in 1953. The revenue base was becoming more, not less, dependent on taxes — and within taxes, on trade.</w:t>
      </w:r>
    </w:p>
    <w:p>
      <w:pPr>
        <w:spacing w:after="160" w:before="0" w:line="276"/>
        <w:jc w:val="both"/>
      </w:pPr>
      <w:r>
        <w:rPr>
          <w:rFonts w:ascii="Arial" w:cs="Arial" w:eastAsia="Arial" w:hAnsi="Arial"/>
          <w:b/>
          <w:bCs/>
          <w:i w:val="false"/>
          <w:iCs w:val="false"/>
          <w:color w:val="333333"/>
          <w:sz w:val="22"/>
          <w:szCs w:val="22"/>
        </w:rPr>
        <w:t xml:space="preserve">Trade dependence persisted. </w:t>
      </w:r>
      <w:r>
        <w:rPr>
          <w:rFonts w:ascii="Arial" w:cs="Arial" w:eastAsia="Arial" w:hAnsi="Arial"/>
          <w:b w:val="false"/>
          <w:bCs w:val="false"/>
          <w:i w:val="false"/>
          <w:iCs w:val="false"/>
          <w:color w:val="333333"/>
          <w:sz w:val="22"/>
          <w:szCs w:val="22"/>
        </w:rPr>
        <w:t xml:space="preserve">Import and export duties together accounted for 61.6% of total revenue. The income tax at 4.1% offered negligible diversification.</w:t>
      </w:r>
    </w:p>
    <w:p>
      <w:pPr>
        <w:spacing w:after="160" w:before="0" w:line="276"/>
        <w:jc w:val="both"/>
      </w:pPr>
      <w:r>
        <w:rPr>
          <w:rFonts w:ascii="Arial" w:cs="Arial" w:eastAsia="Arial" w:hAnsi="Arial"/>
          <w:b/>
          <w:bCs/>
          <w:i w:val="false"/>
          <w:iCs w:val="false"/>
          <w:color w:val="333333"/>
          <w:sz w:val="22"/>
          <w:szCs w:val="22"/>
        </w:rPr>
        <w:t xml:space="preserve">The progressive export tax was a double-edged sword. </w:t>
      </w:r>
      <w:r>
        <w:rPr>
          <w:rFonts w:ascii="Arial" w:cs="Arial" w:eastAsia="Arial" w:hAnsi="Arial"/>
          <w:b w:val="false"/>
          <w:bCs w:val="false"/>
          <w:i w:val="false"/>
          <w:iCs w:val="false"/>
          <w:color w:val="333333"/>
          <w:sz w:val="22"/>
          <w:szCs w:val="22"/>
        </w:rPr>
        <w:t xml:space="preserve">It captured windfall revenue when prices were high (1954) but amplified the decline when prices softened (1955–1956). Without a stabilization fund to smooth the cycle, the government experienced the revenue volatility that Pleites’s analysis predicted would be inherent in a trade-dependent fiscal system.</w:t>
      </w:r>
    </w:p>
    <w:p>
      <w:pPr>
        <w:pStyle w:val="Heading2"/>
        <w:spacing w:after="160" w:before="300" w:line="276"/>
        <w:jc w:val="both"/>
      </w:pPr>
      <w:r>
        <w:rPr>
          <w:rFonts w:ascii="Arial" w:cs="Arial" w:eastAsia="Arial" w:hAnsi="Arial"/>
          <w:b/>
          <w:bCs/>
          <w:i w:val="false"/>
          <w:iCs w:val="false"/>
          <w:color w:val="2E5090"/>
          <w:sz w:val="28"/>
          <w:szCs w:val="28"/>
        </w:rPr>
        <w:t xml:space="preserve">1.5 Revenue Trend, 1949–1956</w:t>
      </w:r>
    </w:p>
    <w:p>
      <w:pPr>
        <w:spacing w:after="80" w:before="0" w:line="276"/>
        <w:jc w:val="both"/>
      </w:pPr>
      <w:r>
        <w:rPr>
          <w:rFonts w:ascii="Arial" w:cs="Arial" w:eastAsia="Arial" w:hAnsi="Arial"/>
          <w:b/>
          <w:bCs/>
          <w:i w:val="false"/>
          <w:iCs w:val="false"/>
          <w:color w:val="333333"/>
          <w:sz w:val="20"/>
          <w:szCs w:val="20"/>
        </w:rPr>
        <w:t xml:space="preserve">Table 3. Total Revenue, 1949–1956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Fiscal Year</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Revenue (₡M)</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1949</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69.2</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1950</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83.4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1951</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117.7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+41.1%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1952</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129.7</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1953</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137.6</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1954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167.4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+21.7%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1955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165.0</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1956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170.9</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+3.6%</w:t>
            </w:r>
          </w:p>
        </w:tc>
      </w:tr>
    </w:tbl>
    <w:p>
      <w:pPr>
        <w:spacing w:after="240" w:before="40" w:line="276"/>
        <w:jc w:val="both"/>
      </w:pPr>
      <w:r>
        <w:rPr>
          <w:rFonts w:ascii="Arial" w:cs="Arial" w:eastAsia="Arial" w:hAnsi="Arial"/>
          <w:b w:val="false"/>
          <w:bCs w:val="false"/>
          <w:i/>
          <w:iCs/>
          <w:color w:val="333333"/>
          <w:sz w:val="18"/>
          <w:szCs w:val="18"/>
        </w:rPr>
        <w:t xml:space="preserve">Source: Estado No. 3; prior Memorias.</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2. Expenditure Structure</w:t>
      </w:r>
    </w:p>
    <w:p>
      <w:pPr>
        <w:pStyle w:val="Heading2"/>
        <w:spacing w:after="160" w:before="300" w:line="276"/>
        <w:jc w:val="both"/>
      </w:pPr>
      <w:r>
        <w:rPr>
          <w:rFonts w:ascii="Arial" w:cs="Arial" w:eastAsia="Arial" w:hAnsi="Arial"/>
          <w:b/>
          <w:bCs/>
          <w:i w:val="false"/>
          <w:iCs w:val="false"/>
          <w:color w:val="2E5090"/>
          <w:sz w:val="28"/>
          <w:szCs w:val="28"/>
        </w:rPr>
        <w:t xml:space="preserve">2.1 Total Expenditure</w:t>
      </w:r>
    </w:p>
    <w:p>
      <w:pPr>
        <w:spacing w:after="160" w:before="0" w:line="276"/>
        <w:jc w:val="both"/>
      </w:pPr>
      <w:r>
        <w:rPr>
          <w:rFonts w:ascii="Arial" w:cs="Arial" w:eastAsia="Arial" w:hAnsi="Arial"/>
          <w:b w:val="false"/>
          <w:bCs w:val="false"/>
          <w:i w:val="false"/>
          <w:iCs w:val="false"/>
          <w:color w:val="333333"/>
          <w:sz w:val="22"/>
          <w:szCs w:val="22"/>
        </w:rPr>
        <w:t xml:space="preserve">Total expenditure (gastos y compromisos) charged to the General Fund for the biennial 1955–1956 reached </w:t>
      </w:r>
      <w:r>
        <w:rPr>
          <w:rFonts w:ascii="Arial" w:cs="Arial" w:eastAsia="Arial" w:hAnsi="Arial"/>
          <w:b/>
          <w:bCs/>
          <w:i w:val="false"/>
          <w:iCs w:val="false"/>
          <w:color w:val="333333"/>
          <w:sz w:val="22"/>
          <w:szCs w:val="22"/>
        </w:rPr>
        <w:t xml:space="preserve">₡306,317,148.21</w:t>
      </w:r>
      <w:r>
        <w:rPr>
          <w:rFonts w:ascii="Arial" w:cs="Arial" w:eastAsia="Arial" w:hAnsi="Arial"/>
          <w:b w:val="false"/>
          <w:bCs w:val="false"/>
          <w:i w:val="false"/>
          <w:iCs w:val="false"/>
          <w:color w:val="333333"/>
          <w:sz w:val="22"/>
          <w:szCs w:val="22"/>
        </w:rPr>
        <w:t xml:space="preserve">, against authorized allocations of ₡327,396,885.90. The utilization rate was 93.6% — higher than in prior years (~85–86%), suggesting tighter budget execution under the biennial framework. Year-by-year: ₡153.3M in 1955, ₡153.0M in 1956 — a near-identical split supporting the continuity narrative.</w:t>
      </w:r>
    </w:p>
    <w:p>
      <w:pPr>
        <w:pStyle w:val="Heading2"/>
        <w:spacing w:after="160" w:before="300" w:line="276"/>
        <w:jc w:val="both"/>
      </w:pPr>
      <w:r>
        <w:rPr>
          <w:rFonts w:ascii="Arial" w:cs="Arial" w:eastAsia="Arial" w:hAnsi="Arial"/>
          <w:b/>
          <w:bCs/>
          <w:i w:val="false"/>
          <w:iCs w:val="false"/>
          <w:color w:val="2E5090"/>
          <w:sz w:val="28"/>
          <w:szCs w:val="28"/>
        </w:rPr>
        <w:t xml:space="preserve">2.2 Expenditure by Economic Class</w:t>
      </w:r>
    </w:p>
    <w:p>
      <w:pPr>
        <w:spacing w:after="80" w:before="0" w:line="276"/>
        <w:jc w:val="both"/>
      </w:pPr>
      <w:r>
        <w:rPr>
          <w:rFonts w:ascii="Arial" w:cs="Arial" w:eastAsia="Arial" w:hAnsi="Arial"/>
          <w:b/>
          <w:bCs/>
          <w:i w:val="false"/>
          <w:iCs w:val="false"/>
          <w:color w:val="333333"/>
          <w:sz w:val="20"/>
          <w:szCs w:val="20"/>
        </w:rPr>
        <w:t xml:space="preserve">Table 4. Expenditure by Economic Class, Biennial 1955–1956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 (₡M)</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of Total</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Salarios Permanentes</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126.2</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41.2%</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Otros Servicios Personales</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21.9</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7.1%</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Personnel</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148.0</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48.3%</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Servicios No Personales</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13.8</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Materiales, Artículos y Repuestos</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15.1</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4.9%</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Equipo</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6.1</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Propiedad</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31.7</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10.3%</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Subvenciones y Subsidios</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55.1</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18.0%</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Deuda Pública</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13.3</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4.3%</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Other</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23.2</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7.6%</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306.3</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100.0%</w:t>
            </w:r>
          </w:p>
        </w:tc>
      </w:tr>
    </w:tbl>
    <w:p>
      <w:pPr>
        <w:spacing w:after="240" w:before="40" w:line="276"/>
        <w:jc w:val="both"/>
      </w:pPr>
      <w:r>
        <w:rPr>
          <w:rFonts w:ascii="Arial" w:cs="Arial" w:eastAsia="Arial" w:hAnsi="Arial"/>
          <w:b w:val="false"/>
          <w:bCs w:val="false"/>
          <w:i/>
          <w:iCs/>
          <w:color w:val="333333"/>
          <w:sz w:val="18"/>
          <w:szCs w:val="18"/>
        </w:rPr>
        <w:t xml:space="preserve">Source: Estado No. 5.</w:t>
      </w:r>
    </w:p>
    <w:p>
      <w:pPr>
        <w:pStyle w:val="Heading2"/>
        <w:spacing w:after="160" w:before="300" w:line="276"/>
        <w:jc w:val="both"/>
      </w:pPr>
      <w:r>
        <w:rPr>
          <w:rFonts w:ascii="Arial" w:cs="Arial" w:eastAsia="Arial" w:hAnsi="Arial"/>
          <w:b/>
          <w:bCs/>
          <w:i w:val="false"/>
          <w:iCs w:val="false"/>
          <w:color w:val="2E5090"/>
          <w:sz w:val="28"/>
          <w:szCs w:val="28"/>
        </w:rPr>
        <w:t xml:space="preserve">2.3 Expenditure by Ministry/Branch (Functional Allocation)</w:t>
      </w:r>
    </w:p>
    <w:p>
      <w:pPr>
        <w:spacing w:after="80" w:before="0" w:line="276"/>
        <w:jc w:val="both"/>
      </w:pPr>
      <w:r>
        <w:rPr>
          <w:rFonts w:ascii="Arial" w:cs="Arial" w:eastAsia="Arial" w:hAnsi="Arial"/>
          <w:b/>
          <w:bCs/>
          <w:i w:val="false"/>
          <w:iCs w:val="false"/>
          <w:color w:val="333333"/>
          <w:sz w:val="20"/>
          <w:szCs w:val="20"/>
        </w:rPr>
        <w:t xml:space="preserve">Table 5. Expenditure by Ministry (Ramo), Biennial 1955–1956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Ramo (Ministry/Branch)</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 (₡M)</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of Total</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Obras Públicas</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50.6</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16.5%</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Cultura Popular (Education)</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44.0</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14.4%</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Defensa Nacional</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32.1</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10.5%</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Salud Pública y Asistencia Social</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29.6</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9.7%</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Hacienda</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22.2</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7.2%</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Gobernación</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21.3</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7.0%</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Economía</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21.4</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7.0%</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Deuda Pública</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13.3</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4.3%</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Seguridad Pública</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11.4</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3.7%</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Presidencia</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10.7</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Other branches</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50.0</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16.3%</w:t>
            </w:r>
          </w:p>
        </w:tc>
      </w:tr>
      <w:tr>
        <w:tc>
          <w:tcPr>
            <w:tcW w:type="dxa" w:w="4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306.3</w:t>
            </w:r>
          </w:p>
        </w:tc>
        <w:tc>
          <w:tcPr>
            <w:tcW w:type="dxa" w:w="2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100.0%</w:t>
            </w:r>
          </w:p>
        </w:tc>
      </w:tr>
    </w:tbl>
    <w:p>
      <w:pPr>
        <w:spacing w:after="240" w:before="40" w:line="276"/>
        <w:jc w:val="both"/>
      </w:pPr>
      <w:r>
        <w:rPr>
          <w:rFonts w:ascii="Arial" w:cs="Arial" w:eastAsia="Arial" w:hAnsi="Arial"/>
          <w:b w:val="false"/>
          <w:bCs w:val="false"/>
          <w:i/>
          <w:iCs/>
          <w:color w:val="333333"/>
          <w:sz w:val="18"/>
          <w:szCs w:val="18"/>
        </w:rPr>
        <w:t xml:space="preserve">Source: Estado No. 5 (resumen).</w:t>
      </w:r>
    </w:p>
    <w:p>
      <w:pPr>
        <w:pStyle w:val="Heading2"/>
        <w:spacing w:after="160" w:before="300" w:line="276"/>
        <w:jc w:val="both"/>
      </w:pPr>
      <w:r>
        <w:rPr>
          <w:rFonts w:ascii="Arial" w:cs="Arial" w:eastAsia="Arial" w:hAnsi="Arial"/>
          <w:b/>
          <w:bCs/>
          <w:i w:val="false"/>
          <w:iCs w:val="false"/>
          <w:color w:val="2E5090"/>
          <w:sz w:val="28"/>
          <w:szCs w:val="28"/>
        </w:rPr>
        <w:t xml:space="preserve">2.4 The Security Apparatus: Consolidated Military and Internal Security Spending</w:t>
      </w:r>
    </w:p>
    <w:p>
      <w:pPr>
        <w:spacing w:after="160" w:before="0" w:line="276"/>
        <w:jc w:val="both"/>
      </w:pPr>
      <w:r>
        <w:rPr>
          <w:rFonts w:ascii="Arial" w:cs="Arial" w:eastAsia="Arial" w:hAnsi="Arial"/>
          <w:b w:val="false"/>
          <w:bCs w:val="false"/>
          <w:i w:val="false"/>
          <w:iCs w:val="false"/>
          <w:color w:val="333333"/>
          <w:sz w:val="22"/>
          <w:szCs w:val="22"/>
        </w:rPr>
        <w:t xml:space="preserve">As established in the 1954 note, the headline figure for Defensa Nacional understates the military regime’s true security footprint. Under the Osorio/Lemus governments, internal security functions were distributed across multiple ramos:</w:t>
      </w:r>
    </w:p>
    <w:p>
      <w:pPr>
        <w:spacing w:after="80" w:before="0" w:line="276"/>
        <w:jc w:val="both"/>
      </w:pPr>
      <w:r>
        <w:rPr>
          <w:rFonts w:ascii="Arial" w:cs="Arial" w:eastAsia="Arial" w:hAnsi="Arial"/>
          <w:b/>
          <w:bCs/>
          <w:i w:val="false"/>
          <w:iCs w:val="false"/>
          <w:color w:val="333333"/>
          <w:sz w:val="20"/>
          <w:szCs w:val="20"/>
        </w:rPr>
        <w:t xml:space="preserve">Table 5A. Consolidated Security Spending, Biennial 1955–1956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of Total Expend.</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Defensa Nacional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32.1</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Seguridad Pública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11.4</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3.7%</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Gobernación (security component, est.)</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~10.6</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Consolidated Security</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~54.1</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~17.7%</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Memo: Defensa alone</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32.1</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10.5%</w:t>
            </w:r>
          </w:p>
        </w:tc>
      </w:tr>
    </w:tbl>
    <w:p>
      <w:pPr>
        <w:spacing w:after="240" w:before="40" w:line="276"/>
        <w:jc w:val="both"/>
      </w:pPr>
      <w:r>
        <w:rPr>
          <w:rFonts w:ascii="Arial" w:cs="Arial" w:eastAsia="Arial" w:hAnsi="Arial"/>
          <w:b w:val="false"/>
          <w:bCs w:val="false"/>
          <w:i/>
          <w:iCs/>
          <w:color w:val="333333"/>
          <w:sz w:val="18"/>
          <w:szCs w:val="18"/>
        </w:rPr>
        <w:t xml:space="preserve">Source: Estado No. 5 Resumen. *Gobernación security component estimated at ~50% of total Gobernación spending, consistent with 1954 methodology.</w:t>
      </w:r>
    </w:p>
    <w:p>
      <w:pPr>
        <w:spacing w:after="160" w:before="0" w:line="276"/>
        <w:jc w:val="both"/>
      </w:pPr>
      <w:r>
        <w:rPr>
          <w:rFonts w:ascii="Arial" w:cs="Arial" w:eastAsia="Arial" w:hAnsi="Arial"/>
          <w:b w:val="false"/>
          <w:bCs w:val="false"/>
          <w:i w:val="false"/>
          <w:iCs w:val="false"/>
          <w:color w:val="333333"/>
          <w:sz w:val="22"/>
          <w:szCs w:val="22"/>
        </w:rPr>
        <w:t xml:space="preserve">Consolidated security spending at approximately 17.7% was a decline from the ~20.6% estimated for 1954. This is consistent with Pleites’s finding that the MISI-era average for defense and security was 11.3% — the 1955–1956 figure sits between the early MISI levels and Pleites’s long-run average, suggesting a gradual normalization. When set against social spending (education 14.4% + health 9.7% = 24.1%), the balance was shifting decisively toward the developmental state.</w:t>
      </w:r>
    </w:p>
    <w:p>
      <w:pPr>
        <w:pStyle w:val="Heading2"/>
        <w:spacing w:after="160" w:before="300" w:line="276"/>
        <w:jc w:val="both"/>
      </w:pPr>
      <w:r>
        <w:rPr>
          <w:rFonts w:ascii="Arial" w:cs="Arial" w:eastAsia="Arial" w:hAnsi="Arial"/>
          <w:b/>
          <w:bCs/>
          <w:i w:val="false"/>
          <w:iCs w:val="false"/>
          <w:color w:val="2E5090"/>
          <w:sz w:val="28"/>
          <w:szCs w:val="28"/>
        </w:rPr>
        <w:t xml:space="preserve">2.5 Expenditure Stability and the Developmental Pattern</w:t>
      </w:r>
    </w:p>
    <w:p>
      <w:pPr>
        <w:spacing w:after="160" w:before="0" w:line="276"/>
        <w:jc w:val="both"/>
      </w:pPr>
      <w:r>
        <w:rPr>
          <w:rFonts w:ascii="Arial" w:cs="Arial" w:eastAsia="Arial" w:hAnsi="Arial"/>
          <w:b w:val="false"/>
          <w:bCs w:val="false"/>
          <w:i w:val="false"/>
          <w:iCs w:val="false"/>
          <w:color w:val="333333"/>
          <w:sz w:val="22"/>
          <w:szCs w:val="22"/>
        </w:rPr>
        <w:t xml:space="preserve">Comparing the expenditure structure of 1955–1956 with prior years, the developmental reorientation that began under Osorio continued to deepen. Education rose from 10.99% (1953) to 14.4%; health from 3.12% to 9.7%; defense fell from 13.24% to 10.5%. The expenditure pattern is recognizably developmental in Pleites’s terms: education and public works together at 30.9% of spending reflect the MISI model’s emphasis on infrastructure and human capital, while the declining security share signals the military regime’s gradual shift from coercion to legitimation through service delivery.</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3. Public Debt</w:t>
      </w:r>
    </w:p>
    <w:p>
      <w:pPr>
        <w:pStyle w:val="Heading2"/>
        <w:spacing w:after="160" w:before="300" w:line="276"/>
        <w:jc w:val="both"/>
      </w:pPr>
      <w:r>
        <w:rPr>
          <w:rFonts w:ascii="Arial" w:cs="Arial" w:eastAsia="Arial" w:hAnsi="Arial"/>
          <w:b/>
          <w:bCs/>
          <w:i w:val="false"/>
          <w:iCs w:val="false"/>
          <w:color w:val="2E5090"/>
          <w:sz w:val="28"/>
          <w:szCs w:val="28"/>
        </w:rPr>
        <w:t xml:space="preserve">3.1 The Debt Reversal</w:t>
      </w:r>
    </w:p>
    <w:p>
      <w:pPr>
        <w:spacing w:after="160" w:before="0" w:line="276"/>
        <w:jc w:val="both"/>
      </w:pPr>
      <w:r>
        <w:rPr>
          <w:rFonts w:ascii="Arial" w:cs="Arial" w:eastAsia="Arial" w:hAnsi="Arial"/>
          <w:b w:val="false"/>
          <w:bCs w:val="false"/>
          <w:i w:val="false"/>
          <w:iCs w:val="false"/>
          <w:color w:val="333333"/>
          <w:sz w:val="22"/>
          <w:szCs w:val="22"/>
        </w:rPr>
        <w:t xml:space="preserve">The most significant fiscal development of the biennium was the </w:t>
      </w:r>
      <w:r>
        <w:rPr>
          <w:rFonts w:ascii="Arial" w:cs="Arial" w:eastAsia="Arial" w:hAnsi="Arial"/>
          <w:b/>
          <w:bCs/>
          <w:i w:val="false"/>
          <w:iCs w:val="false"/>
          <w:color w:val="333333"/>
          <w:sz w:val="22"/>
          <w:szCs w:val="22"/>
        </w:rPr>
        <w:t xml:space="preserve">reversal of the declining debt trajectory</w:t>
      </w:r>
      <w:r>
        <w:rPr>
          <w:rFonts w:ascii="Arial" w:cs="Arial" w:eastAsia="Arial" w:hAnsi="Arial"/>
          <w:b w:val="false"/>
          <w:bCs w:val="false"/>
          <w:i w:val="false"/>
          <w:iCs w:val="false"/>
          <w:color w:val="333333"/>
          <w:sz w:val="22"/>
          <w:szCs w:val="22"/>
        </w:rPr>
        <w:t xml:space="preserve"> that had characterized the period since 1952. Total public debt rose from approximately ₡23.9 million at end-1955 to </w:t>
      </w:r>
      <w:r>
        <w:rPr>
          <w:rFonts w:ascii="Arial" w:cs="Arial" w:eastAsia="Arial" w:hAnsi="Arial"/>
          <w:b/>
          <w:bCs/>
          <w:i w:val="false"/>
          <w:iCs w:val="false"/>
          <w:color w:val="333333"/>
          <w:sz w:val="22"/>
          <w:szCs w:val="22"/>
        </w:rPr>
        <w:t xml:space="preserve">₡32,605,982.86 at December 31, 1956</w:t>
      </w:r>
      <w:r>
        <w:rPr>
          <w:rFonts w:ascii="Arial" w:cs="Arial" w:eastAsia="Arial" w:hAnsi="Arial"/>
          <w:b w:val="false"/>
          <w:bCs w:val="false"/>
          <w:i w:val="false"/>
          <w:iCs w:val="false"/>
          <w:color w:val="333333"/>
          <w:sz w:val="22"/>
          <w:szCs w:val="22"/>
        </w:rPr>
        <w:t xml:space="preserve"> — an increase of approximately ₡8.7 million, or 36%.</w:t>
      </w:r>
    </w:p>
    <w:p>
      <w:pPr>
        <w:spacing w:after="80" w:before="0" w:line="276"/>
        <w:jc w:val="both"/>
      </w:pPr>
      <w:r>
        <w:rPr>
          <w:rFonts w:ascii="Arial" w:cs="Arial" w:eastAsia="Arial" w:hAnsi="Arial"/>
          <w:b/>
          <w:bCs/>
          <w:i w:val="false"/>
          <w:iCs w:val="false"/>
          <w:color w:val="333333"/>
          <w:sz w:val="20"/>
          <w:szCs w:val="20"/>
        </w:rPr>
        <w:t xml:space="preserve">Table 6. Public Debt Stock, End-1955 vs. End-1956</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End-1955 (₡M)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End-1956 (₡M)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Empréstito Nacional 1922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Bonos Carretera Panamericana</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0.17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cancelled</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Bonos Caminos y Obras Públicas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0.20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cancelled</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Carretera del Litoral (IBRD)</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0.95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+9.6</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External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13.8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21.2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+7.4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Letras del Tesoro 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Quédanes Fiscales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0.19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0.19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Valle de La Esperanza bonds</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5.95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7.25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Internal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10.1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11.4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+1.3</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PUBLIC DEBT</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23.9</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32.6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+8.7</w:t>
            </w:r>
          </w:p>
        </w:tc>
      </w:tr>
    </w:tbl>
    <w:p>
      <w:pPr>
        <w:spacing w:after="240" w:before="40" w:line="276"/>
        <w:jc w:val="both"/>
      </w:pPr>
      <w:r>
        <w:rPr>
          <w:rFonts w:ascii="Arial" w:cs="Arial" w:eastAsia="Arial" w:hAnsi="Arial"/>
          <w:b w:val="false"/>
          <w:bCs w:val="false"/>
          <w:i/>
          <w:iCs/>
          <w:color w:val="333333"/>
          <w:sz w:val="18"/>
          <w:szCs w:val="18"/>
        </w:rPr>
        <w:t xml:space="preserve">Source: Estado No. 20.</w:t>
      </w:r>
    </w:p>
    <w:p>
      <w:pPr>
        <w:pStyle w:val="Heading2"/>
        <w:spacing w:after="160" w:before="300" w:line="276"/>
        <w:jc w:val="both"/>
      </w:pPr>
      <w:r>
        <w:rPr>
          <w:rFonts w:ascii="Arial" w:cs="Arial" w:eastAsia="Arial" w:hAnsi="Arial"/>
          <w:b/>
          <w:bCs/>
          <w:i w:val="false"/>
          <w:iCs w:val="false"/>
          <w:color w:val="2E5090"/>
          <w:sz w:val="28"/>
          <w:szCs w:val="28"/>
        </w:rPr>
        <w:t xml:space="preserve">3.2 The Empréstito Nacional de 1922: 34 Years and Counting</w:t>
      </w:r>
    </w:p>
    <w:p>
      <w:pPr>
        <w:spacing w:after="160" w:before="0" w:line="276"/>
        <w:jc w:val="both"/>
      </w:pPr>
      <w:r>
        <w:rPr>
          <w:rFonts w:ascii="Arial" w:cs="Arial" w:eastAsia="Arial" w:hAnsi="Arial"/>
          <w:b w:val="false"/>
          <w:bCs w:val="false"/>
          <w:i w:val="false"/>
          <w:iCs w:val="false"/>
          <w:color w:val="333333"/>
          <w:sz w:val="22"/>
          <w:szCs w:val="22"/>
        </w:rPr>
        <w:t xml:space="preserve">The 1922 loan remained a central feature of the debt landscape, 34 years after its contraction. At end-1956, the outstanding stock stood at </w:t>
      </w:r>
      <w:r>
        <w:rPr>
          <w:rFonts w:ascii="Arial" w:cs="Arial" w:eastAsia="Arial" w:hAnsi="Arial"/>
          <w:b/>
          <w:bCs/>
          <w:i w:val="false"/>
          <w:iCs w:val="false"/>
          <w:color w:val="333333"/>
          <w:sz w:val="22"/>
          <w:szCs w:val="22"/>
        </w:rPr>
        <w:t xml:space="preserve">₡10,606,296.53</w:t>
      </w:r>
      <w:r>
        <w:rPr>
          <w:rFonts w:ascii="Arial" w:cs="Arial" w:eastAsia="Arial" w:hAnsi="Arial"/>
          <w:b w:val="false"/>
          <w:bCs w:val="false"/>
          <w:i w:val="false"/>
          <w:iCs w:val="false"/>
          <w:color w:val="333333"/>
          <w:sz w:val="22"/>
          <w:szCs w:val="22"/>
        </w:rPr>
        <w:t xml:space="preserve">, comprising bonds in multiple currencies:</w:t>
      </w:r>
    </w:p>
    <w:p>
      <w:pPr>
        <w:spacing w:after="80" w:before="0" w:line="276"/>
        <w:jc w:val="both"/>
      </w:pPr>
      <w:r>
        <w:rPr>
          <w:rFonts w:ascii="Arial" w:cs="Arial" w:eastAsia="Arial" w:hAnsi="Arial"/>
          <w:b/>
          <w:bCs/>
          <w:i w:val="false"/>
          <w:iCs w:val="false"/>
          <w:color w:val="333333"/>
          <w:sz w:val="20"/>
          <w:szCs w:val="20"/>
        </w:rPr>
        <w:t xml:space="preserve">Table 7. Empréstito Nacional de 1922 — Outstanding Stock at Dec 31, 1956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Bond Series</w:t>
            </w:r>
          </w:p>
        </w:tc>
        <w:tc>
          <w:tcPr>
            <w:tcW w:type="dxa" w:w="293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Foreign Currency</w:t>
            </w:r>
          </w:p>
        </w:tc>
        <w:tc>
          <w:tcPr>
            <w:tcW w:type="dxa" w:w="293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Colones Equivalent</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Bonos Dólares 4%</w:t>
            </w:r>
          </w:p>
        </w:tc>
        <w:tc>
          <w:tcPr>
            <w:tcW w:type="dxa" w:w="29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$32,000</w:t>
            </w:r>
          </w:p>
        </w:tc>
        <w:tc>
          <w:tcPr>
            <w:tcW w:type="dxa" w:w="29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₡80,000</w:t>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Bonos Dólares 3½%</w:t>
            </w:r>
          </w:p>
        </w:tc>
        <w:tc>
          <w:tcPr>
            <w:tcW w:type="dxa" w:w="293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$2,518,100</w:t>
            </w:r>
          </w:p>
        </w:tc>
        <w:tc>
          <w:tcPr>
            <w:tcW w:type="dxa" w:w="293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₡6,295,250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Bonos Dólares 3%</w:t>
            </w:r>
          </w:p>
        </w:tc>
        <w:tc>
          <w:tcPr>
            <w:tcW w:type="dxa" w:w="29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$846,300</w:t>
            </w:r>
          </w:p>
        </w:tc>
        <w:tc>
          <w:tcPr>
            <w:tcW w:type="dxa" w:w="29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₡2,115,750</w:t>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Bonos Libras Esterlinas 3%</w:t>
            </w:r>
          </w:p>
        </w:tc>
        <w:tc>
          <w:tcPr>
            <w:tcW w:type="dxa" w:w="293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£299,630</w:t>
            </w:r>
          </w:p>
        </w:tc>
        <w:tc>
          <w:tcPr>
            <w:tcW w:type="dxa" w:w="293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₡2,097,410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Certificados Int. Diferidos</w:t>
            </w:r>
          </w:p>
        </w:tc>
        <w:tc>
          <w:tcPr>
            <w:tcW w:type="dxa" w:w="29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$7,048.53</w:t>
            </w:r>
          </w:p>
        </w:tc>
        <w:tc>
          <w:tcPr>
            <w:tcW w:type="dxa" w:w="29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₡17,621</w:t>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Cash + other</w:t>
            </w:r>
          </w:p>
        </w:tc>
        <w:tc>
          <w:tcPr>
            <w:tcW w:type="dxa" w:w="293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various</w:t>
            </w:r>
          </w:p>
        </w:tc>
        <w:tc>
          <w:tcPr>
            <w:tcW w:type="dxa" w:w="293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₡265</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w:t>
            </w:r>
          </w:p>
        </w:tc>
        <w:tc>
          <w:tcPr>
            <w:tcW w:type="dxa" w:w="29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
            </w:r>
          </w:p>
        </w:tc>
        <w:tc>
          <w:tcPr>
            <w:tcW w:type="dxa" w:w="29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₡10,606,297</w:t>
            </w:r>
          </w:p>
        </w:tc>
      </w:tr>
    </w:tbl>
    <w:p>
      <w:pPr>
        <w:spacing w:after="240" w:before="40" w:line="276"/>
        <w:jc w:val="both"/>
      </w:pPr>
      <w:r>
        <w:rPr>
          <w:rFonts w:ascii="Arial" w:cs="Arial" w:eastAsia="Arial" w:hAnsi="Arial"/>
          <w:b w:val="false"/>
          <w:bCs w:val="false"/>
          <w:i/>
          <w:iCs/>
          <w:color w:val="333333"/>
          <w:sz w:val="18"/>
          <w:szCs w:val="18"/>
        </w:rPr>
        <w:t xml:space="preserve">Source: Estado No. 20.</w:t>
      </w:r>
    </w:p>
    <w:p>
      <w:pPr>
        <w:spacing w:after="160" w:before="0" w:line="276"/>
        <w:jc w:val="both"/>
      </w:pPr>
      <w:r>
        <w:rPr>
          <w:rFonts w:ascii="Arial" w:cs="Arial" w:eastAsia="Arial" w:hAnsi="Arial"/>
          <w:b w:val="false"/>
          <w:bCs w:val="false"/>
          <w:i w:val="false"/>
          <w:iCs w:val="false"/>
          <w:color w:val="333333"/>
          <w:sz w:val="22"/>
          <w:szCs w:val="22"/>
        </w:rPr>
        <w:t xml:space="preserve">The BCR as Agente Fiscal managed the 1922 loan’s service, receiving ₡2,000,000 per year from the Fondo General. Interest devengados during 1956 totaled ₡359,926.70, with ₡444,081.37 actually paid (including arrears). The outstanding interest balance at end-1956 was </w:t>
      </w:r>
      <w:r>
        <w:rPr>
          <w:rFonts w:ascii="Arial" w:cs="Arial" w:eastAsia="Arial" w:hAnsi="Arial"/>
          <w:b/>
          <w:bCs/>
          <w:i w:val="false"/>
          <w:iCs w:val="false"/>
          <w:color w:val="333333"/>
          <w:sz w:val="22"/>
          <w:szCs w:val="22"/>
        </w:rPr>
        <w:t xml:space="preserve">₡388,188.13</w:t>
      </w:r>
      <w:r>
        <w:rPr>
          <w:rFonts w:ascii="Arial" w:cs="Arial" w:eastAsia="Arial" w:hAnsi="Arial"/>
          <w:b w:val="false"/>
          <w:bCs w:val="false"/>
          <w:i w:val="false"/>
          <w:iCs w:val="false"/>
          <w:color w:val="333333"/>
          <w:sz w:val="22"/>
          <w:szCs w:val="22"/>
        </w:rPr>
        <w:t xml:space="preserve"> — meaning the government carried unpaid interest on a loan contracted 34 years earlier.</w:t>
      </w:r>
    </w:p>
    <w:p>
      <w:pPr>
        <w:spacing w:after="160" w:before="0" w:line="276"/>
        <w:jc w:val="both"/>
      </w:pPr>
      <w:r>
        <w:rPr>
          <w:rFonts w:ascii="Arial" w:cs="Arial" w:eastAsia="Arial" w:hAnsi="Arial"/>
          <w:b w:val="false"/>
          <w:bCs w:val="false"/>
          <w:i w:val="false"/>
          <w:iCs w:val="false"/>
          <w:color w:val="333333"/>
          <w:sz w:val="22"/>
          <w:szCs w:val="22"/>
        </w:rPr>
        <w:t xml:space="preserve">The report documents the continued existence of </w:t>
      </w:r>
      <w:r>
        <w:rPr>
          <w:rFonts w:ascii="Arial" w:cs="Arial" w:eastAsia="Arial" w:hAnsi="Arial"/>
          <w:b/>
          <w:bCs/>
          <w:i w:val="false"/>
          <w:iCs w:val="false"/>
          <w:color w:val="333333"/>
          <w:sz w:val="22"/>
          <w:szCs w:val="22"/>
        </w:rPr>
        <w:t xml:space="preserve">holdout bondholders</w:t>
      </w:r>
      <w:r>
        <w:rPr>
          <w:rFonts w:ascii="Arial" w:cs="Arial" w:eastAsia="Arial" w:hAnsi="Arial"/>
          <w:b w:val="false"/>
          <w:bCs w:val="false"/>
          <w:i w:val="false"/>
          <w:iCs w:val="false"/>
          <w:color w:val="333333"/>
          <w:sz w:val="22"/>
          <w:szCs w:val="22"/>
        </w:rPr>
        <w:t xml:space="preserve"> from the Depression-era restructuring. Series “A,” “B,” and “C” bonds “no anuentes a los convenios de 1933 y 1936” — creditors who refused the renegotiated terms over two decades earlier — still appeared on the books with small but ongoing interest obligations. As Pleites documented, the 1922 loan was the price the country paid for a century of elite fiscal capture: the government borrowed because it could not tax, and the resulting debt cast a fiscal shadow across decades.</w:t>
      </w:r>
    </w:p>
    <w:p>
      <w:pPr>
        <w:pStyle w:val="Heading2"/>
        <w:spacing w:after="160" w:before="300" w:line="276"/>
        <w:jc w:val="both"/>
      </w:pPr>
      <w:r>
        <w:rPr>
          <w:rFonts w:ascii="Arial" w:cs="Arial" w:eastAsia="Arial" w:hAnsi="Arial"/>
          <w:b/>
          <w:bCs/>
          <w:i w:val="false"/>
          <w:iCs w:val="false"/>
          <w:color w:val="2E5090"/>
          <w:sz w:val="28"/>
          <w:szCs w:val="28"/>
        </w:rPr>
        <w:t xml:space="preserve">3.3 The IBRD Carretera del Litoral: A New Era of Borrowing</w:t>
      </w:r>
    </w:p>
    <w:p>
      <w:pPr>
        <w:spacing w:after="160" w:before="0" w:line="276"/>
        <w:jc w:val="both"/>
      </w:pPr>
      <w:r>
        <w:rPr>
          <w:rFonts w:ascii="Arial" w:cs="Arial" w:eastAsia="Arial" w:hAnsi="Arial"/>
          <w:b w:val="false"/>
          <w:bCs w:val="false"/>
          <w:i w:val="false"/>
          <w:iCs w:val="false"/>
          <w:color w:val="333333"/>
          <w:sz w:val="22"/>
          <w:szCs w:val="22"/>
        </w:rPr>
        <w:t xml:space="preserve">The World Bank loan for the Coastal Highway represented a qualitative shift. Unlike the 1922 loan from National City Company (arranged through Minor Cooper Keith of United Fruit), the IBRD loan was multilateral development finance, earmarked for specific infrastructure, with defined disbursement schedules. Emissions during 1956 of ₡9,607,448.99 brought the stock to ₡10,556,131.16. Interest accrued during 1956 was ₡330,193.99. This was El Salvador’s first World Bank borrowing.</w:t>
      </w:r>
    </w:p>
    <w:p>
      <w:pPr>
        <w:pStyle w:val="Heading2"/>
        <w:spacing w:after="160" w:before="300" w:line="276"/>
        <w:jc w:val="both"/>
      </w:pPr>
      <w:r>
        <w:rPr>
          <w:rFonts w:ascii="Arial" w:cs="Arial" w:eastAsia="Arial" w:hAnsi="Arial"/>
          <w:b/>
          <w:bCs/>
          <w:i w:val="false"/>
          <w:iCs w:val="false"/>
          <w:color w:val="2E5090"/>
          <w:sz w:val="28"/>
          <w:szCs w:val="28"/>
        </w:rPr>
        <w:t xml:space="preserve">3.4 Debt Service</w:t>
      </w:r>
    </w:p>
    <w:p>
      <w:pPr>
        <w:spacing w:after="160" w:before="0" w:line="276"/>
        <w:jc w:val="both"/>
      </w:pPr>
      <w:r>
        <w:rPr>
          <w:rFonts w:ascii="Arial" w:cs="Arial" w:eastAsia="Arial" w:hAnsi="Arial"/>
          <w:b w:val="false"/>
          <w:bCs w:val="false"/>
          <w:i w:val="false"/>
          <w:iCs w:val="false"/>
          <w:color w:val="333333"/>
          <w:sz w:val="22"/>
          <w:szCs w:val="22"/>
        </w:rPr>
        <w:t xml:space="preserve">Deuda Pública in the expenditure tables: ₡13,292,297.97 for the biennium, representing </w:t>
      </w:r>
      <w:r>
        <w:rPr>
          <w:rFonts w:ascii="Arial" w:cs="Arial" w:eastAsia="Arial" w:hAnsi="Arial"/>
          <w:b/>
          <w:bCs/>
          <w:i w:val="false"/>
          <w:iCs w:val="false"/>
          <w:color w:val="333333"/>
          <w:sz w:val="22"/>
          <w:szCs w:val="22"/>
        </w:rPr>
        <w:t xml:space="preserve">4.3% of total expenditure</w:t>
      </w:r>
      <w:r>
        <w:rPr>
          <w:rFonts w:ascii="Arial" w:cs="Arial" w:eastAsia="Arial" w:hAnsi="Arial"/>
          <w:b w:val="false"/>
          <w:bCs w:val="false"/>
          <w:i w:val="false"/>
          <w:iCs w:val="false"/>
          <w:color w:val="333333"/>
          <w:sz w:val="22"/>
          <w:szCs w:val="22"/>
        </w:rPr>
        <w:t xml:space="preserve"> and 3.96% of total revenue. On a per-year basis approximately ₡6.6M — an increase from ₡5.2–5.3M in 1952–1953, reflecting the growing stock, but still well within sustainability thresholds.</w:t>
      </w:r>
    </w:p>
    <w:p>
      <w:pPr>
        <w:pStyle w:val="Heading2"/>
        <w:spacing w:after="160" w:before="300" w:line="276"/>
        <w:jc w:val="both"/>
      </w:pPr>
      <w:r>
        <w:rPr>
          <w:rFonts w:ascii="Arial" w:cs="Arial" w:eastAsia="Arial" w:hAnsi="Arial"/>
          <w:b/>
          <w:bCs/>
          <w:i w:val="false"/>
          <w:iCs w:val="false"/>
          <w:color w:val="2E5090"/>
          <w:sz w:val="28"/>
          <w:szCs w:val="28"/>
        </w:rPr>
        <w:t xml:space="preserve">3.5 Debt in Context: Pleites’s Long Arc</w:t>
      </w:r>
    </w:p>
    <w:p>
      <w:pPr>
        <w:spacing w:after="160" w:before="0" w:line="276"/>
        <w:jc w:val="both"/>
      </w:pPr>
      <w:r>
        <w:rPr>
          <w:rFonts w:ascii="Arial" w:cs="Arial" w:eastAsia="Arial" w:hAnsi="Arial"/>
          <w:b w:val="false"/>
          <w:bCs w:val="false"/>
          <w:i w:val="false"/>
          <w:iCs w:val="false"/>
          <w:color w:val="333333"/>
          <w:sz w:val="22"/>
          <w:szCs w:val="22"/>
        </w:rPr>
        <w:t xml:space="preserve">Under the MAE, debt service averaged 25.6% of total government expenditure. By the early 1950s it had fallen to under 5%. The 1955–1956 figure of 4.3% maintained this low burden. However, the debt reversal — from net repayment to net borrowing — marked the beginning of the trajectory that Pleites documents: public debt as a share of GDP would climb from its historic low (~2% in 1951–1953) to 18.5% by 1979. The IBRD Carretera del Litoral loan was the first major step on that path.</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4. Balance Sheet and Financial Position</w:t>
      </w:r>
    </w:p>
    <w:p>
      <w:pPr>
        <w:spacing w:after="80" w:before="0" w:line="276"/>
        <w:jc w:val="both"/>
      </w:pPr>
      <w:r>
        <w:rPr>
          <w:rFonts w:ascii="Arial" w:cs="Arial" w:eastAsia="Arial" w:hAnsi="Arial"/>
          <w:b/>
          <w:bCs/>
          <w:i w:val="false"/>
          <w:iCs w:val="false"/>
          <w:color w:val="333333"/>
          <w:sz w:val="20"/>
          <w:szCs w:val="20"/>
        </w:rPr>
        <w:t xml:space="preserve">Table 8. Balance Sheet, Fondo General, End-1954 vs. End-1956</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End-1954 (₡M)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End-1956 (₡M)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Activo Circulante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~59.3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77.9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+18.6</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Activo Permanente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~17.3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17.3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Activo</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76.6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95.2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+18.6</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Pasivo Circulante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~22.0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−9.4</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Provisiones y Reservas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Pasivo</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47.3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37.9</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−9.4</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Superávit Financiero</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29.4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39.9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+10.5</w:t>
            </w:r>
          </w:p>
        </w:tc>
      </w:tr>
    </w:tbl>
    <w:p>
      <w:pPr>
        <w:spacing w:after="240" w:before="40" w:line="276"/>
        <w:jc w:val="both"/>
      </w:pPr>
      <w:r>
        <w:rPr>
          <w:rFonts w:ascii="Arial" w:cs="Arial" w:eastAsia="Arial" w:hAnsi="Arial"/>
          <w:b w:val="false"/>
          <w:bCs w:val="false"/>
          <w:i/>
          <w:iCs/>
          <w:color w:val="333333"/>
          <w:sz w:val="18"/>
          <w:szCs w:val="18"/>
        </w:rPr>
        <w:t xml:space="preserve">Source: Part A, Section IV; comparative data from 1954 Memoria.</w:t>
      </w:r>
    </w:p>
    <w:p>
      <w:pPr>
        <w:spacing w:after="160" w:before="0" w:line="276"/>
        <w:jc w:val="both"/>
      </w:pPr>
      <w:r>
        <w:rPr>
          <w:rFonts w:ascii="Arial" w:cs="Arial" w:eastAsia="Arial" w:hAnsi="Arial"/>
          <w:b w:val="false"/>
          <w:bCs w:val="false"/>
          <w:i w:val="false"/>
          <w:iCs w:val="false"/>
          <w:color w:val="333333"/>
          <w:sz w:val="22"/>
          <w:szCs w:val="22"/>
        </w:rPr>
        <w:t xml:space="preserve">Despite the debt stock increase, the General Fund’s liquidity position improved substantially. The Superávit Financiero rose from ₡29.4M to ₡39.9M. The paradox is explained by the dual-budget architecture: IBRD disbursements went to the Carretera del Litoral construction fund (off-budget), while the General Fund accumulated its own revenue surplus.</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5. Personnel Footprint: Security vs. Social/Development Sectors</w:t>
      </w:r>
    </w:p>
    <w:p>
      <w:pPr>
        <w:pStyle w:val="Heading2"/>
        <w:spacing w:after="160" w:before="300" w:line="276"/>
        <w:jc w:val="both"/>
      </w:pPr>
      <w:r>
        <w:rPr>
          <w:rFonts w:ascii="Arial" w:cs="Arial" w:eastAsia="Arial" w:hAnsi="Arial"/>
          <w:b/>
          <w:bCs/>
          <w:i w:val="false"/>
          <w:iCs w:val="false"/>
          <w:color w:val="2E5090"/>
          <w:sz w:val="28"/>
          <w:szCs w:val="28"/>
        </w:rPr>
        <w:t xml:space="preserve">5.1 The Question</w:t>
      </w:r>
    </w:p>
    <w:p>
      <w:pPr>
        <w:spacing w:after="160" w:before="0" w:line="276"/>
        <w:jc w:val="both"/>
      </w:pPr>
      <w:r>
        <w:rPr>
          <w:rFonts w:ascii="Arial" w:cs="Arial" w:eastAsia="Arial" w:hAnsi="Arial"/>
          <w:b w:val="false"/>
          <w:bCs w:val="false"/>
          <w:i w:val="false"/>
          <w:iCs w:val="false"/>
          <w:color w:val="333333"/>
          <w:sz w:val="22"/>
          <w:szCs w:val="22"/>
        </w:rPr>
        <w:t xml:space="preserve">A central argument of this project is that, given the dependency on and volatility of coffee export revenue, the military regimes governing El Salvador during the MISI period faced a structural dilemma in allocating the government’s largest expenditure category — the wage bill — between the security apparatus that sustained them in power and the social/developmental functions that legitimized their rule.</w:t>
      </w:r>
    </w:p>
    <w:p>
      <w:pPr>
        <w:pStyle w:val="Heading2"/>
        <w:spacing w:after="160" w:before="300" w:line="276"/>
        <w:jc w:val="both"/>
      </w:pPr>
      <w:r>
        <w:rPr>
          <w:rFonts w:ascii="Arial" w:cs="Arial" w:eastAsia="Arial" w:hAnsi="Arial"/>
          <w:b/>
          <w:bCs/>
          <w:i w:val="false"/>
          <w:iCs w:val="false"/>
          <w:color w:val="2E5090"/>
          <w:sz w:val="28"/>
          <w:szCs w:val="28"/>
        </w:rPr>
        <w:t xml:space="preserve">5.2 The 1955–1956 Baseline</w:t>
      </w:r>
    </w:p>
    <w:p>
      <w:pPr>
        <w:spacing w:after="80" w:before="0" w:line="276"/>
        <w:jc w:val="both"/>
      </w:pPr>
      <w:r>
        <w:rPr>
          <w:rFonts w:ascii="Arial" w:cs="Arial" w:eastAsia="Arial" w:hAnsi="Arial"/>
          <w:b/>
          <w:bCs/>
          <w:i w:val="false"/>
          <w:iCs w:val="false"/>
          <w:color w:val="333333"/>
          <w:sz w:val="20"/>
          <w:szCs w:val="20"/>
        </w:rPr>
        <w:t xml:space="preserve">Table 9. Permanent Salary Mass by Sector, Biennial 1955–1956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Sector</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Salarios Permanentes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of Total Payroll</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SECURITY SECTOR</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Defensa Nacional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20.7</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16.4%</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Seguridad Pública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9.3</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7.4%</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Gobernación (security est. ~50%)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~5.3</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~4.2%</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Subtotal Security</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~35.4</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~28.1%</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SOCIAL/DEVELOPMENT SECTOR</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Cultura Popular (Education)</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31.8</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25.2%</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Salud Pública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4.8</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3.8%</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Obras Públicas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7.0</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Agricultura y Ganadería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2.9</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Trabajo y Previsión Social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1.7%</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Subtotal Social/Development</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48.7</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38.6%</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OTHER (Hacienda, Judicial, etc.)</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42.1</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33.4%</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SALARIOS PERMANENTES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126.2</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100.0%</w:t>
            </w:r>
          </w:p>
        </w:tc>
      </w:tr>
    </w:tbl>
    <w:p>
      <w:pPr>
        <w:spacing w:after="240" w:before="40" w:line="276"/>
        <w:jc w:val="both"/>
      </w:pPr>
      <w:r>
        <w:rPr>
          <w:rFonts w:ascii="Arial" w:cs="Arial" w:eastAsia="Arial" w:hAnsi="Arial"/>
          <w:b w:val="false"/>
          <w:bCs w:val="false"/>
          <w:i/>
          <w:iCs/>
          <w:color w:val="333333"/>
          <w:sz w:val="18"/>
          <w:szCs w:val="18"/>
        </w:rPr>
        <w:t xml:space="preserve">Source: Estado No. 5. Gobernación security component estimated at ~50% of total, consistent with 1954 methodology.</w:t>
      </w:r>
    </w:p>
    <w:p>
      <w:pPr>
        <w:pStyle w:val="Heading2"/>
        <w:spacing w:after="160" w:before="300" w:line="276"/>
        <w:jc w:val="both"/>
      </w:pPr>
      <w:r>
        <w:rPr>
          <w:rFonts w:ascii="Arial" w:cs="Arial" w:eastAsia="Arial" w:hAnsi="Arial"/>
          <w:b/>
          <w:bCs/>
          <w:i w:val="false"/>
          <w:iCs w:val="false"/>
          <w:color w:val="2E5090"/>
          <w:sz w:val="28"/>
          <w:szCs w:val="28"/>
        </w:rPr>
        <w:t xml:space="preserve">5.3 What the Data Reveals</w:t>
      </w:r>
    </w:p>
    <w:p>
      <w:pPr>
        <w:spacing w:after="160" w:before="0" w:line="276"/>
        <w:jc w:val="both"/>
      </w:pPr>
      <w:r>
        <w:rPr>
          <w:rFonts w:ascii="Arial" w:cs="Arial" w:eastAsia="Arial" w:hAnsi="Arial"/>
          <w:b w:val="false"/>
          <w:bCs w:val="false"/>
          <w:i w:val="false"/>
          <w:iCs w:val="false"/>
          <w:color w:val="333333"/>
          <w:sz w:val="22"/>
          <w:szCs w:val="22"/>
        </w:rPr>
        <w:t xml:space="preserve">The security apparatus consumed approximately </w:t>
      </w:r>
      <w:r>
        <w:rPr>
          <w:rFonts w:ascii="Arial" w:cs="Arial" w:eastAsia="Arial" w:hAnsi="Arial"/>
          <w:b/>
          <w:bCs/>
          <w:i w:val="false"/>
          <w:iCs w:val="false"/>
          <w:color w:val="333333"/>
          <w:sz w:val="22"/>
          <w:szCs w:val="22"/>
        </w:rPr>
        <w:t xml:space="preserve">28.1%</w:t>
      </w:r>
      <w:r>
        <w:rPr>
          <w:rFonts w:ascii="Arial" w:cs="Arial" w:eastAsia="Arial" w:hAnsi="Arial"/>
          <w:b w:val="false"/>
          <w:bCs w:val="false"/>
          <w:i w:val="false"/>
          <w:iCs w:val="false"/>
          <w:color w:val="333333"/>
          <w:sz w:val="22"/>
          <w:szCs w:val="22"/>
        </w:rPr>
        <w:t xml:space="preserve"> of the total permanent salary mass, versus </w:t>
      </w:r>
      <w:r>
        <w:rPr>
          <w:rFonts w:ascii="Arial" w:cs="Arial" w:eastAsia="Arial" w:hAnsi="Arial"/>
          <w:b/>
          <w:bCs/>
          <w:i w:val="false"/>
          <w:iCs w:val="false"/>
          <w:color w:val="333333"/>
          <w:sz w:val="22"/>
          <w:szCs w:val="22"/>
        </w:rPr>
        <w:t xml:space="preserve">38.6%</w:t>
      </w:r>
      <w:r>
        <w:rPr>
          <w:rFonts w:ascii="Arial" w:cs="Arial" w:eastAsia="Arial" w:hAnsi="Arial"/>
          <w:b w:val="false"/>
          <w:bCs w:val="false"/>
          <w:i w:val="false"/>
          <w:iCs w:val="false"/>
          <w:color w:val="333333"/>
          <w:sz w:val="22"/>
          <w:szCs w:val="22"/>
        </w:rPr>
        <w:t xml:space="preserve"> for the social and development sectors combined. Compared to the 1954 baseline (where security was ~33.2% and social/development ~40.6%), the gap narrowed slightly — but the security payroll remained a major structural commitment.</w:t>
      </w:r>
    </w:p>
    <w:p>
      <w:pPr>
        <w:spacing w:after="160" w:before="0" w:line="276"/>
        <w:jc w:val="both"/>
      </w:pPr>
      <w:r>
        <w:rPr>
          <w:rFonts w:ascii="Arial" w:cs="Arial" w:eastAsia="Arial" w:hAnsi="Arial"/>
          <w:b w:val="false"/>
          <w:bCs w:val="false"/>
          <w:i w:val="false"/>
          <w:iCs w:val="false"/>
          <w:color w:val="333333"/>
          <w:sz w:val="22"/>
          <w:szCs w:val="22"/>
        </w:rPr>
        <w:t xml:space="preserve">Within the security sector, the Fuerza Armada (within Defensa Nacional) dominated at an estimated ₡15.9M in biennial salary alone. Within the social sector, Education’s payroll of ₡31.8M was the single largest salary line in government — reflecting the massive teaching force distributed across the national territory.</w:t>
      </w:r>
    </w:p>
    <w:p>
      <w:pPr>
        <w:pStyle w:val="Heading3"/>
        <w:spacing w:after="120" w:before="240" w:line="276"/>
        <w:jc w:val="both"/>
      </w:pPr>
      <w:r>
        <w:rPr>
          <w:rFonts w:ascii="Arial" w:cs="Arial" w:eastAsia="Arial" w:hAnsi="Arial"/>
          <w:b/>
          <w:bCs/>
          <w:i w:val="false"/>
          <w:iCs w:val="false"/>
          <w:color w:val="404040"/>
          <w:sz w:val="24"/>
          <w:szCs w:val="24"/>
        </w:rPr>
        <w:t xml:space="preserve">5.3.1 Note on the Universidad de El Salvador</w:t>
      </w:r>
    </w:p>
    <w:p>
      <w:pPr>
        <w:spacing w:after="160" w:before="0" w:line="276"/>
        <w:jc w:val="both"/>
      </w:pPr>
      <w:r>
        <w:rPr>
          <w:rFonts w:ascii="Arial" w:cs="Arial" w:eastAsia="Arial" w:hAnsi="Arial"/>
          <w:b w:val="false"/>
          <w:bCs w:val="false"/>
          <w:i w:val="false"/>
          <w:iCs w:val="false"/>
          <w:color w:val="333333"/>
          <w:sz w:val="22"/>
          <w:szCs w:val="22"/>
        </w:rPr>
        <w:t xml:space="preserve">The UES does not appear as a separate line within Ramo 40 (Cultura Popular) in the 1955–1956 Estado No. 5. Under the 1950 Constitution, the UES was an autonomous institution with its own budget transferred as a subsidy from the central government. Tracking the UES budget remains important because the national university became a significant political actor during the MISI period, and its autonomy — including fiscal autonomy — was a persistent source of tension with the military governments.</w:t>
      </w:r>
    </w:p>
    <w:p>
      <w:pPr>
        <w:pStyle w:val="Heading2"/>
        <w:spacing w:after="160" w:before="300" w:line="276"/>
        <w:jc w:val="both"/>
      </w:pPr>
      <w:r>
        <w:rPr>
          <w:rFonts w:ascii="Arial" w:cs="Arial" w:eastAsia="Arial" w:hAnsi="Arial"/>
          <w:b/>
          <w:bCs/>
          <w:i w:val="false"/>
          <w:iCs w:val="false"/>
          <w:color w:val="2E5090"/>
          <w:sz w:val="28"/>
          <w:szCs w:val="28"/>
        </w:rPr>
        <w:t xml:space="preserve">5.4 Implications for the Rigidity Hypothesis</w:t>
      </w:r>
    </w:p>
    <w:p>
      <w:pPr>
        <w:spacing w:after="160" w:before="0" w:line="276"/>
        <w:jc w:val="both"/>
      </w:pPr>
      <w:r>
        <w:rPr>
          <w:rFonts w:ascii="Arial" w:cs="Arial" w:eastAsia="Arial" w:hAnsi="Arial"/>
          <w:b w:val="false"/>
          <w:bCs w:val="false"/>
          <w:i w:val="false"/>
          <w:iCs w:val="false"/>
          <w:color w:val="333333"/>
          <w:sz w:val="22"/>
          <w:szCs w:val="22"/>
        </w:rPr>
        <w:t xml:space="preserve">The salary data confirm the structural rigidity identified in prior notes. Both the security and social sectors had built substantial payroll commitments that would be extremely difficult to reverse in a revenue downturn:</w:t>
      </w:r>
    </w:p>
    <w:p>
      <w:pPr>
        <w:spacing w:after="160" w:before="0" w:line="276"/>
        <w:jc w:val="both"/>
      </w:pPr>
      <w:r>
        <w:rPr>
          <w:rFonts w:ascii="Arial" w:cs="Arial" w:eastAsia="Arial" w:hAnsi="Arial"/>
          <w:b/>
          <w:bCs/>
          <w:i w:val="false"/>
          <w:iCs w:val="false"/>
          <w:color w:val="333333"/>
          <w:sz w:val="22"/>
          <w:szCs w:val="22"/>
        </w:rPr>
        <w:t xml:space="preserve">Security payroll rigidity was political. </w:t>
      </w:r>
      <w:r>
        <w:rPr>
          <w:rFonts w:ascii="Arial" w:cs="Arial" w:eastAsia="Arial" w:hAnsi="Arial"/>
          <w:b w:val="false"/>
          <w:bCs w:val="false"/>
          <w:i w:val="false"/>
          <w:iCs w:val="false"/>
          <w:color w:val="333333"/>
          <w:sz w:val="22"/>
          <w:szCs w:val="22"/>
        </w:rPr>
        <w:t xml:space="preserve">A military government that owed its power to the armed forces could not cut military and police salaries or reduce headcount without undermining its own power base.</w:t>
      </w:r>
    </w:p>
    <w:p>
      <w:pPr>
        <w:spacing w:after="160" w:before="0" w:line="276"/>
        <w:jc w:val="both"/>
      </w:pPr>
      <w:r>
        <w:rPr>
          <w:rFonts w:ascii="Arial" w:cs="Arial" w:eastAsia="Arial" w:hAnsi="Arial"/>
          <w:b/>
          <w:bCs/>
          <w:i w:val="false"/>
          <w:iCs w:val="false"/>
          <w:color w:val="333333"/>
          <w:sz w:val="22"/>
          <w:szCs w:val="22"/>
        </w:rPr>
        <w:t xml:space="preserve">Social/development payroll rigidity was functional and legitimizing. </w:t>
      </w:r>
      <w:r>
        <w:rPr>
          <w:rFonts w:ascii="Arial" w:cs="Arial" w:eastAsia="Arial" w:hAnsi="Arial"/>
          <w:b w:val="false"/>
          <w:bCs w:val="false"/>
          <w:i w:val="false"/>
          <w:iCs w:val="false"/>
          <w:color w:val="333333"/>
          <w:sz w:val="22"/>
          <w:szCs w:val="22"/>
        </w:rPr>
        <w:t xml:space="preserve">A teaching force of thousands, distributed across the national territory, could not be laid off without both functional collapse of the education system and political backlash from the families it served.</w:t>
      </w:r>
    </w:p>
    <w:p>
      <w:pPr>
        <w:spacing w:after="160" w:before="0" w:line="276"/>
        <w:jc w:val="both"/>
      </w:pPr>
      <w:r>
        <w:rPr>
          <w:rFonts w:ascii="Arial" w:cs="Arial" w:eastAsia="Arial" w:hAnsi="Arial"/>
          <w:b w:val="false"/>
          <w:bCs w:val="false"/>
          <w:i w:val="false"/>
          <w:iCs w:val="false"/>
          <w:color w:val="333333"/>
          <w:sz w:val="22"/>
          <w:szCs w:val="22"/>
        </w:rPr>
        <w:t xml:space="preserve">The testable prediction remains: in years when revenue contracted (due to falling coffee prices), the security payroll would be maintained or even increased, while flexible spending categories (equipment, property, materials) would absorb the adjustment. The 1955 revenue decline — the first in the series — offers an initial test case.</w:t>
      </w:r>
    </w:p>
    <w:p>
      <w:pPr>
        <w:pStyle w:val="Heading2"/>
        <w:spacing w:after="160" w:before="300" w:line="276"/>
        <w:jc w:val="both"/>
      </w:pPr>
      <w:r>
        <w:rPr>
          <w:rFonts w:ascii="Arial" w:cs="Arial" w:eastAsia="Arial" w:hAnsi="Arial"/>
          <w:b/>
          <w:bCs/>
          <w:i w:val="false"/>
          <w:iCs w:val="false"/>
          <w:color w:val="2E5090"/>
          <w:sz w:val="28"/>
          <w:szCs w:val="28"/>
        </w:rPr>
        <w:t xml:space="preserve">5.5 Methodology for Tracking Forward</w:t>
      </w:r>
    </w:p>
    <w:p>
      <w:pPr>
        <w:spacing w:after="160" w:before="0" w:line="276"/>
        <w:jc w:val="both"/>
      </w:pPr>
      <w:r>
        <w:rPr>
          <w:rFonts w:ascii="Arial" w:cs="Arial" w:eastAsia="Arial" w:hAnsi="Arial"/>
          <w:b w:val="false"/>
          <w:bCs w:val="false"/>
          <w:i w:val="false"/>
          <w:iCs w:val="false"/>
          <w:color w:val="333333"/>
          <w:sz w:val="22"/>
          <w:szCs w:val="22"/>
        </w:rPr>
        <w:t xml:space="preserve">As we process subsequent Memorias, we extract the Salarios Permanentes figure for each ramo from the Estado No. 5. The key comparisons are: (1) Security payroll: Defensa + Seguridad Pública + Gobernación security component. (2) Social/development payroll: Education + Health + Agriculture + Trabajo + Obras Públicas. When this series is complete from 1952 to 1979, it will be possible to test the rigidity hypothesis directly.</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6. Extraordinary Budgets and Special Funds</w:t>
      </w:r>
    </w:p>
    <w:p>
      <w:pPr>
        <w:spacing w:after="160" w:before="0" w:line="276"/>
        <w:jc w:val="both"/>
      </w:pPr>
      <w:r>
        <w:rPr>
          <w:rFonts w:ascii="Arial" w:cs="Arial" w:eastAsia="Arial" w:hAnsi="Arial"/>
          <w:b/>
          <w:bCs/>
          <w:i w:val="false"/>
          <w:iCs w:val="false"/>
          <w:color w:val="333333"/>
          <w:sz w:val="22"/>
          <w:szCs w:val="22"/>
        </w:rPr>
        <w:t xml:space="preserve">Empréstito Interno de Aprovisionamiento: </w:t>
      </w:r>
      <w:r>
        <w:rPr>
          <w:rFonts w:ascii="Arial" w:cs="Arial" w:eastAsia="Arial" w:hAnsi="Arial"/>
          <w:b w:val="false"/>
          <w:bCs w:val="false"/>
          <w:i w:val="false"/>
          <w:iCs w:val="false"/>
          <w:color w:val="333333"/>
          <w:sz w:val="22"/>
          <w:szCs w:val="22"/>
        </w:rPr>
        <w:t xml:space="preserve">Being liquidated during the period. The original authorization under Decreto Legislativo No. 62 (1950) had served its purpose.</w:t>
      </w:r>
    </w:p>
    <w:p>
      <w:pPr>
        <w:spacing w:after="160" w:before="0" w:line="276"/>
        <w:jc w:val="both"/>
      </w:pPr>
      <w:r>
        <w:rPr>
          <w:rFonts w:ascii="Arial" w:cs="Arial" w:eastAsia="Arial" w:hAnsi="Arial"/>
          <w:b/>
          <w:bCs/>
          <w:i w:val="false"/>
          <w:iCs w:val="false"/>
          <w:color w:val="333333"/>
          <w:sz w:val="22"/>
          <w:szCs w:val="22"/>
        </w:rPr>
        <w:t xml:space="preserve">Valle de La Esperanza: </w:t>
      </w:r>
      <w:r>
        <w:rPr>
          <w:rFonts w:ascii="Arial" w:cs="Arial" w:eastAsia="Arial" w:hAnsi="Arial"/>
          <w:b w:val="false"/>
          <w:bCs w:val="false"/>
          <w:i w:val="false"/>
          <w:iCs w:val="false"/>
          <w:color w:val="333333"/>
          <w:sz w:val="22"/>
          <w:szCs w:val="22"/>
        </w:rPr>
        <w:t xml:space="preserve">Under Decreto Legislativo No. 1170 (October 1953), authorized emissions up to ₡11,150,000. By end-1956, ₡7,250,000 in bonds issued (65% of ceiling). Utilized during biennium: ₡1,017,168.56. Available balance: ₡3,557,556.56. Major contingent liability.</w:t>
      </w:r>
    </w:p>
    <w:p>
      <w:pPr>
        <w:spacing w:after="160" w:before="0" w:line="276"/>
        <w:jc w:val="both"/>
      </w:pPr>
      <w:r>
        <w:rPr>
          <w:rFonts w:ascii="Arial" w:cs="Arial" w:eastAsia="Arial" w:hAnsi="Arial"/>
          <w:b/>
          <w:bCs/>
          <w:i w:val="false"/>
          <w:iCs w:val="false"/>
          <w:color w:val="333333"/>
          <w:sz w:val="22"/>
          <w:szCs w:val="22"/>
        </w:rPr>
        <w:t xml:space="preserve">Carretera del Litoral (IBRD): </w:t>
      </w:r>
      <w:r>
        <w:rPr>
          <w:rFonts w:ascii="Arial" w:cs="Arial" w:eastAsia="Arial" w:hAnsi="Arial"/>
          <w:b w:val="false"/>
          <w:bCs w:val="false"/>
          <w:i w:val="false"/>
          <w:iCs w:val="false"/>
          <w:color w:val="333333"/>
          <w:sz w:val="22"/>
          <w:szCs w:val="22"/>
        </w:rPr>
        <w:t xml:space="preserve">The largest off-budget operation. World Bank loan disbursements accelerated dramatically during 1956.</w:t>
      </w:r>
    </w:p>
    <w:p>
      <w:pPr>
        <w:pStyle w:val="Heading1"/>
        <w:spacing w:after="200" w:before="360" w:line="276"/>
        <w:jc w:val="both"/>
      </w:pPr>
      <w:r>
        <w:rPr>
          <w:rFonts w:ascii="Arial" w:cs="Arial" w:eastAsia="Arial" w:hAnsi="Arial"/>
          <w:b/>
          <w:bCs/>
          <w:i w:val="false"/>
          <w:iCs w:val="false"/>
          <w:color w:val="1F3864"/>
          <w:sz w:val="32"/>
          <w:szCs w:val="32"/>
        </w:rPr>
        <w:t xml:space="preserve">7. Comparative Analysis: 1952–1956 Trajectory</w:t>
      </w:r>
    </w:p>
    <w:p>
      <w:pPr>
        <w:spacing w:after="160" w:before="0" w:line="276"/>
        <w:jc w:val="both"/>
      </w:pPr>
      <w:r>
        <w:rPr>
          <w:rFonts w:ascii="Arial" w:cs="Arial" w:eastAsia="Arial" w:hAnsi="Arial"/>
          <w:b w:val="false"/>
          <w:bCs w:val="false"/>
          <w:i w:val="false"/>
          <w:iCs w:val="false"/>
          <w:color w:val="333333"/>
          <w:sz w:val="22"/>
          <w:szCs w:val="22"/>
        </w:rPr>
        <w:t xml:space="preserve">With five years of data from the Memorias (1952, 1953, 1954, 1955, 1956), we can now trace the MISI fiscal trajectory through the Osorio presidency and into the early Lemus period:</w:t>
      </w:r>
    </w:p>
    <w:p>
      <w:pPr>
        <w:spacing w:after="80" w:before="0" w:line="276"/>
        <w:jc w:val="both"/>
      </w:pPr>
      <w:r>
        <w:rPr>
          <w:rFonts w:ascii="Arial" w:cs="Arial" w:eastAsia="Arial" w:hAnsi="Arial"/>
          <w:b/>
          <w:bCs/>
          <w:i w:val="false"/>
          <w:iCs w:val="false"/>
          <w:color w:val="333333"/>
          <w:sz w:val="20"/>
          <w:szCs w:val="20"/>
        </w:rPr>
        <w:t xml:space="preserve">Table 10. Key Fiscal Indicators, 1952–1956</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2700"/>
        <w:gridCol w:w="1250"/>
        <w:gridCol w:w="1250"/>
        <w:gridCol w:w="1250"/>
        <w:gridCol w:w="1250"/>
        <w:gridCol w:w="1250"/>
      </w:tblGrid>
      <w:tr>
        <w:tc>
          <w:tcPr>
            <w:tcW w:type="dxa" w:w="2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Indicator</w:t>
            </w:r>
          </w:p>
        </w:tc>
        <w:tc>
          <w:tcPr>
            <w:tcW w:type="dxa" w:w="12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1952</w:t>
            </w:r>
          </w:p>
        </w:tc>
        <w:tc>
          <w:tcPr>
            <w:tcW w:type="dxa" w:w="12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1953</w:t>
            </w:r>
          </w:p>
        </w:tc>
        <w:tc>
          <w:tcPr>
            <w:tcW w:type="dxa" w:w="12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1954</w:t>
            </w:r>
          </w:p>
        </w:tc>
        <w:tc>
          <w:tcPr>
            <w:tcW w:type="dxa" w:w="12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1955</w:t>
            </w:r>
          </w:p>
        </w:tc>
        <w:tc>
          <w:tcPr>
            <w:tcW w:type="dxa" w:w="12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1956</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Revenue (₡M)</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135.2</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140.3</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167.4</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165.0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170.9</w:t>
            </w:r>
          </w:p>
        </w:tc>
      </w:tr>
      <w:tr>
        <w:tc>
          <w:tcPr>
            <w:tcW w:type="dxa" w:w="2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Expenditure (₡M)</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112.1</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124.1</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142.4</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153.3</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153.0</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Wage bill (% expend.)</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48.2%</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49.7%</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49.1%</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~48%</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~49%</w:t>
            </w:r>
          </w:p>
        </w:tc>
      </w:tr>
      <w:tr>
        <w:tc>
          <w:tcPr>
            <w:tcW w:type="dxa" w:w="2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Education (% expend.)</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10.99%</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10.99%</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18.1%</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~14%</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Defense (% expend.)</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13.24%</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13.24%</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13.4%</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w:t>
            </w:r>
          </w:p>
        </w:tc>
      </w:tr>
      <w:tr>
        <w:tc>
          <w:tcPr>
            <w:tcW w:type="dxa" w:w="2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Health (% expend.)</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3.12%</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3.12%</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10.0%</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Debt service (% expend.)</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4.6%</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4.3%</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3.3%</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w:t>
            </w:r>
          </w:p>
        </w:tc>
      </w:tr>
      <w:tr>
        <w:tc>
          <w:tcPr>
            <w:tcW w:type="dxa" w:w="2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debt (₡M)</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30.6</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28.4</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~26</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~24</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32.6</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Tax concentration (%)</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86%</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87%</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92%</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93%</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92%</w:t>
            </w:r>
          </w:p>
        </w:tc>
      </w:tr>
      <w:tr>
        <w:tc>
          <w:tcPr>
            <w:tcW w:type="dxa" w:w="2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Surplus (₡M)</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23.1</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16.2</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25.0</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11.7</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17.9</w:t>
            </w:r>
          </w:p>
        </w:tc>
      </w:tr>
    </w:tbl>
    <w:p>
      <w:pPr>
        <w:spacing w:after="240" w:before="40" w:line="276"/>
        <w:jc w:val="both"/>
      </w:pPr>
      <w:r>
        <w:rPr>
          <w:rFonts w:ascii="Arial" w:cs="Arial" w:eastAsia="Arial" w:hAnsi="Arial"/>
          <w:b w:val="false"/>
          <w:bCs w:val="false"/>
          <w:i/>
          <w:iCs/>
          <w:color w:val="333333"/>
          <w:sz w:val="18"/>
          <w:szCs w:val="18"/>
        </w:rPr>
        <w:t xml:space="preserve">Source: Memorias de Hacienda 1952–1956; prior project working notes. Some 1955/1956 figures estimated from biennial data.</w:t>
      </w:r>
    </w:p>
    <w:p>
      <w:pPr>
        <w:spacing w:after="160" w:before="0" w:line="276"/>
        <w:jc w:val="both"/>
      </w:pPr>
      <w:r>
        <w:rPr>
          <w:rFonts w:ascii="Arial" w:cs="Arial" w:eastAsia="Arial" w:hAnsi="Arial"/>
          <w:b w:val="false"/>
          <w:bCs w:val="false"/>
          <w:i w:val="false"/>
          <w:iCs w:val="false"/>
          <w:color w:val="333333"/>
          <w:sz w:val="22"/>
          <w:szCs w:val="22"/>
        </w:rPr>
        <w:t xml:space="preserve">The trajectory reveals: (1) Revenue nearly doubled from 1949 to 1956 but with the 1955 interruption confirming volatility. (2) The wage bill remained locked at ~48–50% throughout. (3) Education and health gained significantly at defense’s expense. (4) Debt reversed from declining to rising in 1956. (5) Tax concentration worsened steadily, from 86% to 92–93%.</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8. Preliminary Observations</w:t>
      </w:r>
    </w:p>
    <w:p>
      <w:pPr>
        <w:spacing w:after="160" w:before="0" w:line="276"/>
        <w:jc w:val="both"/>
      </w:pPr>
      <w:r>
        <w:rPr>
          <w:rFonts w:ascii="Arial" w:cs="Arial" w:eastAsia="Arial" w:hAnsi="Arial"/>
          <w:b/>
          <w:bCs/>
          <w:i w:val="false"/>
          <w:iCs w:val="false"/>
          <w:color w:val="333333"/>
          <w:sz w:val="22"/>
          <w:szCs w:val="22"/>
        </w:rPr>
        <w:t xml:space="preserve">1. The biennial as political continuity. </w:t>
      </w:r>
      <w:r>
        <w:rPr>
          <w:rFonts w:ascii="Arial" w:cs="Arial" w:eastAsia="Arial" w:hAnsi="Arial"/>
          <w:b w:val="false"/>
          <w:bCs w:val="false"/>
          <w:i w:val="false"/>
          <w:iCs w:val="false"/>
          <w:color w:val="333333"/>
          <w:sz w:val="22"/>
          <w:szCs w:val="22"/>
        </w:rPr>
        <w:t xml:space="preserve">The decision to present 1955–1956 as a single exercise signaled that the Osorio-to-Lemus transition represented continuity within the PRUD’s developmental program. The near-identical expenditure levels between years reinforce this reading.</w:t>
      </w:r>
    </w:p>
    <w:p>
      <w:pPr>
        <w:spacing w:after="160" w:before="0" w:line="276"/>
        <w:jc w:val="both"/>
      </w:pPr>
      <w:r>
        <w:rPr>
          <w:rFonts w:ascii="Arial" w:cs="Arial" w:eastAsia="Arial" w:hAnsi="Arial"/>
          <w:b/>
          <w:bCs/>
          <w:i w:val="false"/>
          <w:iCs w:val="false"/>
          <w:color w:val="333333"/>
          <w:sz w:val="22"/>
          <w:szCs w:val="22"/>
        </w:rPr>
        <w:t xml:space="preserve">2. Revenue vulnerability confirmed. </w:t>
      </w:r>
      <w:r>
        <w:rPr>
          <w:rFonts w:ascii="Arial" w:cs="Arial" w:eastAsia="Arial" w:hAnsi="Arial"/>
          <w:b w:val="false"/>
          <w:bCs w:val="false"/>
          <w:i w:val="false"/>
          <w:iCs w:val="false"/>
          <w:color w:val="333333"/>
          <w:sz w:val="22"/>
          <w:szCs w:val="22"/>
        </w:rPr>
        <w:t xml:space="preserve">The 1955 decline — the first since 1949 — validated the structural vulnerability identified in the 1952–1953 diagnostic. The progressive export tax amplified both the boom (1954) and the softening (1955–1956).</w:t>
      </w:r>
    </w:p>
    <w:p>
      <w:pPr>
        <w:spacing w:after="160" w:before="0" w:line="276"/>
        <w:jc w:val="both"/>
      </w:pPr>
      <w:r>
        <w:rPr>
          <w:rFonts w:ascii="Arial" w:cs="Arial" w:eastAsia="Arial" w:hAnsi="Arial"/>
          <w:b/>
          <w:bCs/>
          <w:i w:val="false"/>
          <w:iCs w:val="false"/>
          <w:color w:val="333333"/>
          <w:sz w:val="22"/>
          <w:szCs w:val="22"/>
        </w:rPr>
        <w:t xml:space="preserve">3. The Pleites paradox of the income tax. </w:t>
      </w:r>
      <w:r>
        <w:rPr>
          <w:rFonts w:ascii="Arial" w:cs="Arial" w:eastAsia="Arial" w:hAnsi="Arial"/>
          <w:b w:val="false"/>
          <w:bCs w:val="false"/>
          <w:i w:val="false"/>
          <w:iCs w:val="false"/>
          <w:color w:val="333333"/>
          <w:sz w:val="22"/>
          <w:szCs w:val="22"/>
        </w:rPr>
        <w:t xml:space="preserve">The dual structure of the 1951 reform — high individual rates, minimal corporate rates, coffee grower exemption — meant the income tax could not serve as a countercyclical buffer. It fell from 6.4% to 4.1% of revenue precisely when diversification was most needed.</w:t>
      </w:r>
    </w:p>
    <w:p>
      <w:pPr>
        <w:spacing w:after="160" w:before="0" w:line="276"/>
        <w:jc w:val="both"/>
      </w:pPr>
      <w:r>
        <w:rPr>
          <w:rFonts w:ascii="Arial" w:cs="Arial" w:eastAsia="Arial" w:hAnsi="Arial"/>
          <w:b/>
          <w:bCs/>
          <w:i w:val="false"/>
          <w:iCs w:val="false"/>
          <w:color w:val="333333"/>
          <w:sz w:val="22"/>
          <w:szCs w:val="22"/>
        </w:rPr>
        <w:t xml:space="preserve">4. The debt reversal marks a turning point. </w:t>
      </w:r>
      <w:r>
        <w:rPr>
          <w:rFonts w:ascii="Arial" w:cs="Arial" w:eastAsia="Arial" w:hAnsi="Arial"/>
          <w:b w:val="false"/>
          <w:bCs w:val="false"/>
          <w:i w:val="false"/>
          <w:iCs w:val="false"/>
          <w:color w:val="333333"/>
          <w:sz w:val="22"/>
          <w:szCs w:val="22"/>
        </w:rPr>
        <w:t xml:space="preserve">The shift from net repayment to net borrowing, driven by the IBRD Carretera del Litoral loan, was the beginning of the debt trajectory that would reach 18.5% of GDP by 1979. Qualitatively different from the 1922 legacy, but quantitatively consequential.</w:t>
      </w:r>
    </w:p>
    <w:p>
      <w:pPr>
        <w:spacing w:after="160" w:before="0" w:line="276"/>
        <w:jc w:val="both"/>
      </w:pPr>
      <w:r>
        <w:rPr>
          <w:rFonts w:ascii="Arial" w:cs="Arial" w:eastAsia="Arial" w:hAnsi="Arial"/>
          <w:b/>
          <w:bCs/>
          <w:i w:val="false"/>
          <w:iCs w:val="false"/>
          <w:color w:val="333333"/>
          <w:sz w:val="22"/>
          <w:szCs w:val="22"/>
        </w:rPr>
        <w:t xml:space="preserve">5. The 1922 loan as an enduring burden. </w:t>
      </w:r>
      <w:r>
        <w:rPr>
          <w:rFonts w:ascii="Arial" w:cs="Arial" w:eastAsia="Arial" w:hAnsi="Arial"/>
          <w:b w:val="false"/>
          <w:bCs w:val="false"/>
          <w:i w:val="false"/>
          <w:iCs w:val="false"/>
          <w:color w:val="333333"/>
          <w:sz w:val="22"/>
          <w:szCs w:val="22"/>
        </w:rPr>
        <w:t xml:space="preserve">Thirty-four years after contraction, the loan still represented ₡10.6M, required ₡2M/year in service, carried unpaid interest, and involved holdout creditors from the 1933–1936 restructuring. A vivid reminder of how borrowing decisions cast fiscal shadows across decades.</w:t>
      </w:r>
    </w:p>
    <w:p>
      <w:pPr>
        <w:spacing w:after="160" w:before="0" w:line="276"/>
        <w:jc w:val="both"/>
      </w:pPr>
      <w:r>
        <w:rPr>
          <w:rFonts w:ascii="Arial" w:cs="Arial" w:eastAsia="Arial" w:hAnsi="Arial"/>
          <w:b/>
          <w:bCs/>
          <w:i w:val="false"/>
          <w:iCs w:val="false"/>
          <w:color w:val="333333"/>
          <w:sz w:val="22"/>
          <w:szCs w:val="22"/>
        </w:rPr>
        <w:t xml:space="preserve">6. Social spending breakthrough. </w:t>
      </w:r>
      <w:r>
        <w:rPr>
          <w:rFonts w:ascii="Arial" w:cs="Arial" w:eastAsia="Arial" w:hAnsi="Arial"/>
          <w:b w:val="false"/>
          <w:bCs w:val="false"/>
          <w:i w:val="false"/>
          <w:iCs w:val="false"/>
          <w:color w:val="333333"/>
          <w:sz w:val="22"/>
          <w:szCs w:val="22"/>
        </w:rPr>
        <w:t xml:space="preserve">Education rose from 10.99% (1953) to 14.4%; health from 3.12% to 9.7%. Combined social spending (24.1%) now exceeded consolidated security spending (~17.7%) — a decisive shift in the fiscal priorities of the military developmental state.</w:t>
      </w:r>
    </w:p>
    <w:p>
      <w:pPr>
        <w:spacing w:after="160" w:before="0" w:line="276"/>
        <w:jc w:val="both"/>
      </w:pPr>
      <w:r>
        <w:rPr>
          <w:rFonts w:ascii="Arial" w:cs="Arial" w:eastAsia="Arial" w:hAnsi="Arial"/>
          <w:b/>
          <w:bCs/>
          <w:i w:val="false"/>
          <w:iCs w:val="false"/>
          <w:color w:val="333333"/>
          <w:sz w:val="22"/>
          <w:szCs w:val="22"/>
        </w:rPr>
        <w:t xml:space="preserve">7. Personnel rigidity persists. </w:t>
      </w:r>
      <w:r>
        <w:rPr>
          <w:rFonts w:ascii="Arial" w:cs="Arial" w:eastAsia="Arial" w:hAnsi="Arial"/>
          <w:b w:val="false"/>
          <w:bCs w:val="false"/>
          <w:i w:val="false"/>
          <w:iCs w:val="false"/>
          <w:color w:val="333333"/>
          <w:sz w:val="22"/>
          <w:szCs w:val="22"/>
        </w:rPr>
        <w:t xml:space="preserve">The wage bill at 48.3% and the security/social payroll commitments documented in the personnel footprint analysis confirm that approximately three-quarters of the budget remained rigid or semi-rigid. The first revenue decline in the series (1955) will test how this rigidity operated in practice.</w:t>
      </w:r>
    </w:p>
    <w:p>
      <w:pPr>
        <w:spacing w:after="160" w:before="0" w:line="276"/>
        <w:jc w:val="both"/>
      </w:pPr>
      <w:r>
        <w:rPr>
          <w:rFonts w:ascii="Arial" w:cs="Arial" w:eastAsia="Arial" w:hAnsi="Arial"/>
          <w:b/>
          <w:bCs/>
          <w:i w:val="false"/>
          <w:iCs w:val="false"/>
          <w:color w:val="333333"/>
          <w:sz w:val="22"/>
          <w:szCs w:val="22"/>
        </w:rPr>
        <w:t xml:space="preserve">8. Maximum fiscal space being consumed. </w:t>
      </w:r>
      <w:r>
        <w:rPr>
          <w:rFonts w:ascii="Arial" w:cs="Arial" w:eastAsia="Arial" w:hAnsi="Arial"/>
          <w:b w:val="false"/>
          <w:bCs w:val="false"/>
          <w:i w:val="false"/>
          <w:iCs w:val="false"/>
          <w:color w:val="333333"/>
          <w:sz w:val="22"/>
          <w:szCs w:val="22"/>
        </w:rPr>
        <w:t xml:space="preserve">The government entered the biennium with substantial fiscal space (low debt, declining service, rising surpluses). By end-1956, that space was being actively consumed through IBRD borrowing and Valle de La Esperanza bond issuance. The question for the Lemus administration was whether the development investments would generate returns sufficient to sustain the expanded fiscal footprint.</w:t>
      </w:r>
    </w:p>
    <w:p>
      <w:pPr>
        <w:spacing w:before="600"/>
      </w:pPr>
    </w:p>
    <w:p>
      <w:pPr>
        <w:spacing w:after="160" w:before="0" w:line="276"/>
        <w:jc w:val="center"/>
      </w:pPr>
      <w:r>
        <w:rPr>
          <w:rFonts w:ascii="Arial" w:cs="Arial" w:eastAsia="Arial" w:hAnsi="Arial"/>
          <w:b w:val="false"/>
          <w:bCs w:val="false"/>
          <w:i w:val="false"/>
          <w:iCs w:val="false"/>
          <w:color w:val="333333"/>
          <w:sz w:val="20"/>
          <w:szCs w:val="20"/>
        </w:rPr>
        <w:t xml:space="preserve">———</w:t>
      </w:r>
    </w:p>
    <w:p>
      <w:pPr>
        <w:spacing w:after="160" w:before="0" w:line="276"/>
        <w:jc w:val="both"/>
      </w:pPr>
      <w:r>
        <w:rPr>
          <w:rFonts w:ascii="Arial" w:cs="Arial" w:eastAsia="Arial" w:hAnsi="Arial"/>
          <w:b/>
          <w:bCs/>
          <w:i w:val="false"/>
          <w:iCs w:val="false"/>
          <w:color w:val="333333"/>
          <w:sz w:val="20"/>
          <w:szCs w:val="20"/>
        </w:rPr>
        <w:t xml:space="preserve">Source: </w:t>
      </w:r>
      <w:r>
        <w:rPr>
          <w:rFonts w:ascii="Arial" w:cs="Arial" w:eastAsia="Arial" w:hAnsi="Arial"/>
          <w:b w:val="false"/>
          <w:bCs w:val="false"/>
          <w:i/>
          <w:iCs/>
          <w:color w:val="333333"/>
          <w:sz w:val="20"/>
          <w:szCs w:val="20"/>
        </w:rPr>
        <w:t xml:space="preserve">Ministerio de Hacienda, Gobierno de El Salvador. Informe Complementario Constitucional, Ejercicio Fiscal 1955–1956 (Bienal). San Salvador, 26 de marzo de 1957. Signed by Humberto Costa, Ministro de Hacienda.</w:t>
      </w:r>
    </w:p>
    <w:p>
      <w:pPr>
        <w:spacing w:after="160" w:before="0" w:line="276"/>
        <w:jc w:val="both"/>
      </w:pPr>
      <w:r>
        <w:rPr>
          <w:rFonts w:ascii="Arial" w:cs="Arial" w:eastAsia="Arial" w:hAnsi="Arial"/>
          <w:b w:val="false"/>
          <w:bCs w:val="false"/>
          <w:i/>
          <w:iCs/>
          <w:color w:val="333333"/>
          <w:sz w:val="20"/>
          <w:szCs w:val="20"/>
        </w:rPr>
        <w:t xml:space="preserve">Note prepared from scanned primary documents held in the repository: chepito61/El-Salvador-s-Political-Economy-of-Fiscal-Policy-1953-1980.</w:t>
      </w:r>
    </w:p>
    <w:p>
      <w:pPr>
        <w:spacing w:after="160" w:before="0" w:line="276"/>
        <w:jc w:val="both"/>
      </w:pPr>
      <w:r>
        <w:rPr>
          <w:rFonts w:ascii="Arial" w:cs="Arial" w:eastAsia="Arial" w:hAnsi="Arial"/>
          <w:b w:val="false"/>
          <w:bCs w:val="false"/>
          <w:i/>
          <w:iCs/>
          <w:color w:val="333333"/>
          <w:sz w:val="20"/>
          <w:szCs w:val="20"/>
        </w:rPr>
        <w:t xml:space="preserve">Currency: US$1.00 = ₡2.50 (colones). Fixed exchange rate maintained throughout the period.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El Salvador — Memorias de Hacienda 1955–1956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2026-03-31T10:34:08.156Z</dcterms:created>
  <dcterms:modified xsi:type="dcterms:W3CDTF">2026-03-31T10:34:08.156Z</dcterms:modified>
</cp:coreProperties>
</file>

<file path=docProps/custom.xml><?xml version="1.0" encoding="utf-8"?>
<Properties xmlns="http://schemas.openxmlformats.org/officeDocument/2006/custom-properties" xmlns:vt="http://schemas.openxmlformats.org/officeDocument/2006/docPropsVTypes"/>
</file>