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before="0" w:line="276"/>
        <w:jc w:val="center"/>
      </w:pPr>
      <w:r>
        <w:rPr>
          <w:rFonts w:ascii="Arial" w:cs="Arial" w:eastAsia="Arial" w:hAnsi="Arial"/>
          <w:b/>
          <w:bCs/>
          <w:i w:val="false"/>
          <w:iCs w:val="false"/>
          <w:color w:val="1F3864"/>
          <w:sz w:val="36"/>
          <w:szCs w:val="36"/>
        </w:rPr>
        <w:t xml:space="preserve">El Salvador: Fiscal Year 1960</w:t>
      </w:r>
    </w:p>
    <w:p>
      <w:pPr>
        <w:spacing w:after="300" w:before="0" w:line="276"/>
        <w:jc w:val="center"/>
      </w:pPr>
      <w:r>
        <w:rPr>
          <w:rFonts w:ascii="Arial" w:cs="Arial" w:eastAsia="Arial" w:hAnsi="Arial"/>
          <w:b w:val="false"/>
          <w:bCs w:val="false"/>
          <w:i/>
          <w:iCs/>
          <w:color w:val="CC3333"/>
          <w:sz w:val="26"/>
          <w:szCs w:val="26"/>
        </w:rPr>
        <w:t xml:space="preserve">The Coup Year — Revenue Recovery and Political Rupture</w:t>
      </w:r>
    </w:p>
    <w:p>
      <w:pPr>
        <w:spacing w:after="200" w:before="0" w:line="276"/>
        <w:jc w:val="center"/>
      </w:pPr>
      <w:r>
        <w:rPr>
          <w:rFonts w:ascii="Arial" w:cs="Arial" w:eastAsia="Arial" w:hAnsi="Arial"/>
          <w:b w:val="false"/>
          <w:bCs w:val="false"/>
          <w:i w:val="false"/>
          <w:iCs w:val="false"/>
          <w:color w:val="777777"/>
          <w:sz w:val="22"/>
          <w:szCs w:val="22"/>
        </w:rPr>
        <w:t xml:space="preserve">Working Note — Based on Primary Sources</w:t>
      </w:r>
    </w:p>
    <w:p>
      <w:pPr>
        <w:spacing w:after="100" w:before="0" w:line="276"/>
        <w:jc w:val="center"/>
      </w:pPr>
      <w:r>
        <w:rPr>
          <w:rFonts w:ascii="Arial" w:cs="Arial" w:eastAsia="Arial" w:hAnsi="Arial"/>
          <w:b w:val="false"/>
          <w:bCs w:val="false"/>
          <w:i/>
          <w:iCs/>
          <w:color w:val="777777"/>
          <w:sz w:val="20"/>
          <w:szCs w:val="20"/>
        </w:rPr>
        <w:t xml:space="preserve">Ministerio de Hacienda, Gobierno de El Salvador</w:t>
      </w:r>
    </w:p>
    <w:p>
      <w:pPr>
        <w:spacing w:after="160" w:before="0" w:line="276"/>
        <w:jc w:val="center"/>
      </w:pPr>
      <w:r>
        <w:rPr>
          <w:rFonts w:ascii="Arial" w:cs="Arial" w:eastAsia="Arial" w:hAnsi="Arial"/>
          <w:b w:val="false"/>
          <w:bCs w:val="false"/>
          <w:i w:val="false"/>
          <w:iCs w:val="false"/>
          <w:color w:val="777777"/>
          <w:sz w:val="22"/>
          <w:szCs w:val="22"/>
        </w:rPr>
        <w:t xml:space="preserve">April 2026</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Political Context</w:t>
      </w:r>
    </w:p>
    <w:p>
      <w:pPr>
        <w:spacing w:after="160" w:before="0" w:line="276"/>
        <w:jc w:val="both"/>
      </w:pPr>
      <w:r>
        <w:rPr>
          <w:rFonts w:ascii="Arial" w:cs="Arial" w:eastAsia="Arial" w:hAnsi="Arial"/>
          <w:b/>
          <w:bCs/>
          <w:i w:val="false"/>
          <w:iCs w:val="false"/>
          <w:color w:val="333333"/>
          <w:sz w:val="22"/>
          <w:szCs w:val="22"/>
        </w:rPr>
        <w:t xml:space="preserve">On October 26, 1960, a military-civilian junta overthrew President José María Lemus</w:t>
      </w:r>
      <w:r>
        <w:rPr>
          <w:rFonts w:ascii="Arial" w:cs="Arial" w:eastAsia="Arial" w:hAnsi="Arial"/>
          <w:b w:val="false"/>
          <w:bCs w:val="false"/>
          <w:i w:val="false"/>
          <w:iCs w:val="false"/>
          <w:color w:val="333333"/>
          <w:sz w:val="22"/>
          <w:szCs w:val="22"/>
        </w:rPr>
        <w:t xml:space="preserve">, ending the PRUD’s twelve-year hold on power (Osorio 1950–1956, Lemus 1956–1960). The Junta de Gobierno took power and governed through the remainder of the fiscal year. The Informe Complementario Constitucional for 1960 was thus prepared under a successor government, which explains the ministerial name changes: Gobernación became </w:t>
      </w:r>
      <w:r>
        <w:rPr>
          <w:rFonts w:ascii="Arial" w:cs="Arial" w:eastAsia="Arial" w:hAnsi="Arial"/>
          <w:b/>
          <w:bCs/>
          <w:i w:val="false"/>
          <w:iCs w:val="false"/>
          <w:color w:val="333333"/>
          <w:sz w:val="22"/>
          <w:szCs w:val="22"/>
        </w:rPr>
        <w:t xml:space="preserve">Ramo del Interior</w:t>
      </w:r>
      <w:r>
        <w:rPr>
          <w:rFonts w:ascii="Arial" w:cs="Arial" w:eastAsia="Arial" w:hAnsi="Arial"/>
          <w:b w:val="false"/>
          <w:bCs w:val="false"/>
          <w:i w:val="false"/>
          <w:iCs w:val="false"/>
          <w:color w:val="333333"/>
          <w:sz w:val="22"/>
          <w:szCs w:val="22"/>
        </w:rPr>
        <w:t xml:space="preserve">, Cultura Popular became </w:t>
      </w:r>
      <w:r>
        <w:rPr>
          <w:rFonts w:ascii="Arial" w:cs="Arial" w:eastAsia="Arial" w:hAnsi="Arial"/>
          <w:b/>
          <w:bCs/>
          <w:i w:val="false"/>
          <w:iCs w:val="false"/>
          <w:color w:val="333333"/>
          <w:sz w:val="22"/>
          <w:szCs w:val="22"/>
        </w:rPr>
        <w:t xml:space="preserve">Ramo de Cultura</w:t>
      </w:r>
      <w:r>
        <w:rPr>
          <w:rFonts w:ascii="Arial" w:cs="Arial" w:eastAsia="Arial" w:hAnsi="Arial"/>
          <w:b w:val="false"/>
          <w:bCs w:val="false"/>
          <w:i w:val="false"/>
          <w:iCs w:val="false"/>
          <w:color w:val="333333"/>
          <w:sz w:val="22"/>
          <w:szCs w:val="22"/>
        </w:rPr>
        <w:t xml:space="preserve">. The Junta itself was overthrown in January 1961 by a counter-coup that installed the Directorio Cívico Militar, beginning a new political phase.</w:t>
      </w:r>
    </w:p>
    <w:p>
      <w:pPr>
        <w:spacing w:after="160" w:before="0" w:line="276"/>
        <w:jc w:val="both"/>
      </w:pPr>
      <w:r>
        <w:rPr>
          <w:rFonts w:ascii="Arial" w:cs="Arial" w:eastAsia="Arial" w:hAnsi="Arial"/>
          <w:b w:val="false"/>
          <w:bCs w:val="false"/>
          <w:i w:val="false"/>
          <w:iCs w:val="false"/>
          <w:color w:val="333333"/>
          <w:sz w:val="22"/>
          <w:szCs w:val="22"/>
        </w:rPr>
        <w:t xml:space="preserve">The fiscal year 1960 thus spans two governments and a political rupture. The budget was prepared and largely executed under Lemus, but the liquidation was completed under the Junta. The data represents the fiscal reality of a government in transition.</w:t>
      </w:r>
    </w:p>
    <w:p>
      <w:pPr>
        <w:spacing w:after="160" w:before="0" w:line="276"/>
        <w:jc w:val="both"/>
      </w:pPr>
      <w:r>
        <w:rPr>
          <w:rFonts w:ascii="Arial" w:cs="Arial" w:eastAsia="Arial" w:hAnsi="Arial"/>
          <w:b w:val="false"/>
          <w:bCs w:val="false"/>
          <w:i/>
          <w:iCs/>
          <w:color w:val="333333"/>
          <w:sz w:val="22"/>
          <w:szCs w:val="22"/>
        </w:rPr>
        <w:t xml:space="preserve">Currency: US$1.00 = ₡2.50 (colones). Fixed exchange rate.</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1. Revenue: The Partial Recovery</w:t>
      </w:r>
    </w:p>
    <w:p>
      <w:pPr>
        <w:spacing w:after="160" w:before="0" w:line="276"/>
        <w:jc w:val="both"/>
      </w:pPr>
      <w:r>
        <w:rPr>
          <w:rFonts w:ascii="Arial" w:cs="Arial" w:eastAsia="Arial" w:hAnsi="Arial"/>
          <w:b w:val="false"/>
          <w:bCs w:val="false"/>
          <w:i w:val="false"/>
          <w:iCs w:val="false"/>
          <w:color w:val="333333"/>
          <w:sz w:val="22"/>
          <w:szCs w:val="22"/>
        </w:rPr>
        <w:t xml:space="preserve">Total revenue recovered to </w:t>
      </w:r>
      <w:r>
        <w:rPr>
          <w:rFonts w:ascii="Arial" w:cs="Arial" w:eastAsia="Arial" w:hAnsi="Arial"/>
          <w:b/>
          <w:bCs/>
          <w:i w:val="false"/>
          <w:iCs w:val="false"/>
          <w:color w:val="333333"/>
          <w:sz w:val="22"/>
          <w:szCs w:val="22"/>
        </w:rPr>
        <w:t xml:space="preserve">₡170,984,366.45</w:t>
      </w:r>
      <w:r>
        <w:rPr>
          <w:rFonts w:ascii="Arial" w:cs="Arial" w:eastAsia="Arial" w:hAnsi="Arial"/>
          <w:b w:val="false"/>
          <w:bCs w:val="false"/>
          <w:i w:val="false"/>
          <w:iCs w:val="false"/>
          <w:color w:val="333333"/>
          <w:sz w:val="22"/>
          <w:szCs w:val="22"/>
        </w:rPr>
        <w:t xml:space="preserve"> — an increase of 8.9% from 1959’s ₡157.0M, ending two years of consecutive decline. Revenue exceeded budgeted estimates by ₡7.0M (4.3%). However, it remained 9.8% below the 1957 peak of ₡189.5M. The recovery was driven primarily by </w:t>
      </w:r>
      <w:r>
        <w:rPr>
          <w:rFonts w:ascii="Arial" w:cs="Arial" w:eastAsia="Arial" w:hAnsi="Arial"/>
          <w:b/>
          <w:bCs/>
          <w:i w:val="false"/>
          <w:iCs w:val="false"/>
          <w:color w:val="333333"/>
          <w:sz w:val="22"/>
          <w:szCs w:val="22"/>
        </w:rPr>
        <w:t xml:space="preserve">import duties</w:t>
      </w:r>
      <w:r>
        <w:rPr>
          <w:rFonts w:ascii="Arial" w:cs="Arial" w:eastAsia="Arial" w:hAnsi="Arial"/>
          <w:b w:val="false"/>
          <w:bCs w:val="false"/>
          <w:i w:val="false"/>
          <w:iCs w:val="false"/>
          <w:color w:val="333333"/>
          <w:sz w:val="22"/>
          <w:szCs w:val="22"/>
        </w:rPr>
        <w:t xml:space="preserve">, which surged 19.6% to ₡69.8M — the highest in the series — reflecting economic recovery and growing import activity.</w:t>
      </w:r>
    </w:p>
    <w:p>
      <w:pPr>
        <w:spacing w:after="80" w:before="0" w:line="276"/>
        <w:jc w:val="both"/>
      </w:pPr>
      <w:r>
        <w:rPr>
          <w:rFonts w:ascii="Arial" w:cs="Arial" w:eastAsia="Arial" w:hAnsi="Arial"/>
          <w:b/>
          <w:bCs/>
          <w:i w:val="false"/>
          <w:iCs w:val="false"/>
          <w:color w:val="333333"/>
          <w:sz w:val="18"/>
          <w:szCs w:val="18"/>
        </w:rPr>
        <w:t xml:space="preserve">Table 1. Revenue Composition, Fiscal Year 1960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1660"/>
      </w:tblGrid>
      <w:tr>
        <w:tc>
          <w:tcPr>
            <w:tcW w:type="dxa" w:w="3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Revenue Source</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Amount (₡M)</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 of Total</w:t>
            </w:r>
          </w:p>
        </w:tc>
        <w:tc>
          <w:tcPr>
            <w:tcW w:type="dxa" w:w="1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vs. 1959</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Derechos de Importación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69.8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40.8%</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+19.6%</w:t>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Derechos de Exportación</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26.3</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15.4%</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Impuestos Manufacturados y Consumo</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29.7</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17.4%</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+8.5%</w:t>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Impuesto sobre la Renta y Vialidad</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17.1</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10.0%</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−13.5%</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Sucesiones y Donaciones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1.2%</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Other taxes</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9.6</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5.6%</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 Impuestos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154.6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90.4%</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Non-tax revenue</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16.4</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9.6%</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171.0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100.0%</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+8.9%</w:t>
            </w:r>
          </w:p>
        </w:tc>
      </w:tr>
    </w:tbl>
    <w:p>
      <w:pPr>
        <w:spacing w:after="200" w:before="40" w:line="276"/>
        <w:jc w:val="both"/>
      </w:pPr>
      <w:r>
        <w:rPr>
          <w:rFonts w:ascii="Arial" w:cs="Arial" w:eastAsia="Arial" w:hAnsi="Arial"/>
          <w:b w:val="false"/>
          <w:bCs w:val="false"/>
          <w:i/>
          <w:iCs/>
          <w:color w:val="333333"/>
          <w:sz w:val="16"/>
          <w:szCs w:val="16"/>
        </w:rPr>
        <w:t xml:space="preserve">Source: Part A narrative, pp. 12–17.</w:t>
      </w:r>
    </w:p>
    <w:p>
      <w:pPr>
        <w:pStyle w:val="Heading2"/>
        <w:spacing w:after="160" w:before="300" w:line="276"/>
        <w:jc w:val="both"/>
      </w:pPr>
      <w:r>
        <w:rPr>
          <w:rFonts w:ascii="Arial" w:cs="Arial" w:eastAsia="Arial" w:hAnsi="Arial"/>
          <w:b/>
          <w:bCs/>
          <w:i w:val="false"/>
          <w:iCs w:val="false"/>
          <w:color w:val="2E5090"/>
          <w:sz w:val="28"/>
          <w:szCs w:val="28"/>
        </w:rPr>
        <w:t xml:space="preserve">1.1 The Income Tax Reversal</w:t>
      </w:r>
    </w:p>
    <w:p>
      <w:pPr>
        <w:spacing w:after="160" w:before="0" w:line="276"/>
        <w:jc w:val="both"/>
      </w:pPr>
      <w:r>
        <w:rPr>
          <w:rFonts w:ascii="Arial" w:cs="Arial" w:eastAsia="Arial" w:hAnsi="Arial"/>
          <w:b w:val="false"/>
          <w:bCs w:val="false"/>
          <w:i w:val="false"/>
          <w:iCs w:val="false"/>
          <w:color w:val="333333"/>
          <w:sz w:val="22"/>
          <w:szCs w:val="22"/>
        </w:rPr>
        <w:t xml:space="preserve">The income tax declined for the first time since 1956, falling 13.5% to ₡17,053,454.61. The six-year trajectory from the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Year</w:t>
            </w:r>
          </w:p>
        </w:tc>
        <w:tc>
          <w:tcPr>
            <w:tcW w:type="dxa" w:w="30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Income Tax (₡M)</w:t>
            </w:r>
          </w:p>
        </w:tc>
        <w:tc>
          <w:tcPr>
            <w:tcW w:type="dxa" w:w="30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 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1955</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13.6</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1956</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15.2</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1957</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16.1</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+6.3%</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1958</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18.6</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+15.4%</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1959</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19.7</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+6.0%</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1960</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17.1</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−13.5%</w:t>
            </w:r>
          </w:p>
        </w:tc>
      </w:tr>
    </w:tbl>
    <w:p>
      <w:pPr>
        <w:spacing w:after="160" w:before="0" w:line="276"/>
        <w:jc w:val="both"/>
      </w:pPr>
      <w:r>
        <w:rPr>
          <w:rFonts w:ascii="Arial" w:cs="Arial" w:eastAsia="Arial" w:hAnsi="Arial"/>
          <w:b w:val="false"/>
          <w:bCs w:val="false"/>
          <w:i w:val="false"/>
          <w:iCs w:val="false"/>
          <w:color w:val="333333"/>
          <w:sz w:val="22"/>
          <w:szCs w:val="22"/>
        </w:rPr>
        <w:t xml:space="preserve">The Memoria attributes the decline to the economic downturn’s lagged effect on income declarations. Income tax collections in any year largely reflect the prior year’s economic activity. The 1960 decline thus reflects 1959’s depressed economy, while the 1958–1959 increases reflected the still-healthy 1957–1958 income base. This lag structure means the income tax provided </w:t>
      </w:r>
      <w:r>
        <w:rPr>
          <w:rFonts w:ascii="Arial" w:cs="Arial" w:eastAsia="Arial" w:hAnsi="Arial"/>
          <w:b/>
          <w:bCs/>
          <w:i w:val="false"/>
          <w:iCs w:val="false"/>
          <w:color w:val="333333"/>
          <w:sz w:val="22"/>
          <w:szCs w:val="22"/>
        </w:rPr>
        <w:t xml:space="preserve">delayed countercyclical support followed by a delayed procyclical contraction</w:t>
      </w:r>
      <w:r>
        <w:rPr>
          <w:rFonts w:ascii="Arial" w:cs="Arial" w:eastAsia="Arial" w:hAnsi="Arial"/>
          <w:b w:val="false"/>
          <w:bCs w:val="false"/>
          <w:i w:val="false"/>
          <w:iCs w:val="false"/>
          <w:color w:val="333333"/>
          <w:sz w:val="22"/>
          <w:szCs w:val="22"/>
        </w:rPr>
        <w:t xml:space="preserve"> — helpful during the first year of crisis, harmful during recovery.</w:t>
      </w:r>
    </w:p>
    <w:p>
      <w:pPr>
        <w:pStyle w:val="Heading2"/>
        <w:spacing w:after="160" w:before="300" w:line="276"/>
        <w:jc w:val="both"/>
      </w:pPr>
      <w:r>
        <w:rPr>
          <w:rFonts w:ascii="Arial" w:cs="Arial" w:eastAsia="Arial" w:hAnsi="Arial"/>
          <w:b/>
          <w:bCs/>
          <w:i w:val="false"/>
          <w:iCs w:val="false"/>
          <w:color w:val="2E5090"/>
          <w:sz w:val="28"/>
          <w:szCs w:val="28"/>
        </w:rPr>
        <w:t xml:space="preserve">1.2 Revenue Trend, 1949–1960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Fiscal Year</w:t>
            </w:r>
          </w:p>
        </w:tc>
        <w:tc>
          <w:tcPr>
            <w:tcW w:type="dxa" w:w="30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Revenue (₡M)</w:t>
            </w:r>
          </w:p>
        </w:tc>
        <w:tc>
          <w:tcPr>
            <w:tcW w:type="dxa" w:w="30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 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1949</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69.2</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1950</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83.4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+20.5%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1951</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117.7</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+41.1%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1952</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129.7</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1953</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137.6</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167.4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+21.7%</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1955</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164.8</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1956</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170.6</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1957</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189.5</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1958</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167.7</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1959</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157.0</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−6.4%</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1960</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171.0</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+8.9%</w:t>
            </w:r>
          </w:p>
        </w:tc>
      </w:tr>
    </w:tbl>
    <w:p>
      <w:pPr>
        <w:spacing w:after="200" w:before="40" w:line="276"/>
        <w:jc w:val="both"/>
      </w:pPr>
      <w:r>
        <w:rPr>
          <w:rFonts w:ascii="Arial" w:cs="Arial" w:eastAsia="Arial" w:hAnsi="Arial"/>
          <w:b w:val="false"/>
          <w:bCs w:val="false"/>
          <w:i/>
          <w:iCs/>
          <w:color w:val="333333"/>
          <w:sz w:val="16"/>
          <w:szCs w:val="16"/>
        </w:rPr>
        <w:t xml:space="preserve">Source: Part A narrative. Twelve-year series shows revenue grew from ₡69.2M to ₡171.0M — 147% increase, compound annual growth ~8.6%.</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2. Expenditure</w:t>
      </w:r>
    </w:p>
    <w:p>
      <w:pPr>
        <w:spacing w:after="160" w:before="0" w:line="276"/>
        <w:jc w:val="both"/>
      </w:pPr>
      <w:r>
        <w:rPr>
          <w:rFonts w:ascii="Arial" w:cs="Arial" w:eastAsia="Arial" w:hAnsi="Arial"/>
          <w:b w:val="false"/>
          <w:bCs w:val="false"/>
          <w:i w:val="false"/>
          <w:iCs w:val="false"/>
          <w:color w:val="333333"/>
          <w:sz w:val="22"/>
          <w:szCs w:val="22"/>
        </w:rPr>
        <w:t xml:space="preserve">Total expenditure: </w:t>
      </w:r>
      <w:r>
        <w:rPr>
          <w:rFonts w:ascii="Arial" w:cs="Arial" w:eastAsia="Arial" w:hAnsi="Arial"/>
          <w:b/>
          <w:bCs/>
          <w:i w:val="false"/>
          <w:iCs w:val="false"/>
          <w:color w:val="333333"/>
          <w:sz w:val="22"/>
          <w:szCs w:val="22"/>
        </w:rPr>
        <w:t xml:space="preserve">₡174,261,247.50</w:t>
      </w:r>
      <w:r>
        <w:rPr>
          <w:rFonts w:ascii="Arial" w:cs="Arial" w:eastAsia="Arial" w:hAnsi="Arial"/>
          <w:b w:val="false"/>
          <w:bCs w:val="false"/>
          <w:i w:val="false"/>
          <w:iCs w:val="false"/>
          <w:color w:val="333333"/>
          <w:sz w:val="22"/>
          <w:szCs w:val="22"/>
        </w:rPr>
        <w:t xml:space="preserve">, essentially flat versus 1959 (₡175.8M, –0.9%). The deficit narrowed to approximately </w:t>
      </w:r>
      <w:r>
        <w:rPr>
          <w:rFonts w:ascii="Arial" w:cs="Arial" w:eastAsia="Arial" w:hAnsi="Arial"/>
          <w:b/>
          <w:bCs/>
          <w:i w:val="false"/>
          <w:iCs w:val="false"/>
          <w:color w:val="333333"/>
          <w:sz w:val="22"/>
          <w:szCs w:val="22"/>
        </w:rPr>
        <w:t xml:space="preserve">₡3.3 million</w:t>
      </w:r>
      <w:r>
        <w:rPr>
          <w:rFonts w:ascii="Arial" w:cs="Arial" w:eastAsia="Arial" w:hAnsi="Arial"/>
          <w:b w:val="false"/>
          <w:bCs w:val="false"/>
          <w:i w:val="false"/>
          <w:iCs w:val="false"/>
          <w:color w:val="333333"/>
          <w:sz w:val="22"/>
          <w:szCs w:val="22"/>
        </w:rPr>
        <w:t xml:space="preserve"> — dramatically smaller than the ₡17–19M deficits of 1958–1959, thanks to the revenue recovery combined with expenditure restraint.</w:t>
      </w:r>
    </w:p>
    <w:p>
      <w:pPr>
        <w:spacing w:after="80" w:before="0" w:line="276"/>
        <w:jc w:val="both"/>
      </w:pPr>
      <w:r>
        <w:rPr>
          <w:rFonts w:ascii="Arial" w:cs="Arial" w:eastAsia="Arial" w:hAnsi="Arial"/>
          <w:b/>
          <w:bCs/>
          <w:i w:val="false"/>
          <w:iCs w:val="false"/>
          <w:color w:val="333333"/>
          <w:sz w:val="18"/>
          <w:szCs w:val="18"/>
        </w:rPr>
        <w:t xml:space="preserve">Table 2. Expenditure by Ministry (Ramo), Fiscal Year 1960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Ramo (Ministry/Branch)</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Amount (₡M)</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 of Total</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Ramo de Cultura (Education)</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32.4</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18.6%</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Obras Públicas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28.0</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16.1%</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Salud Pública y Asistencia Social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19.1</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11.0%</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Defensa Nacional</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16.0</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9.2%</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Hacienda</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10.9</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6.2%</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Ramo del Interior</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10.2</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5.8%</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Economía</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8.2</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4.7%</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Clases Pasivas y Seguro Social</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7.8</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4.5%</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Deuda Pública</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7.2</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4.1%</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Seguridad Pública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6.0</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3.4%</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Agricultura y Ganadería</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5.4</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Other branches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23.1</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13.3%</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174.3</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100.0%</w:t>
            </w:r>
          </w:p>
        </w:tc>
      </w:tr>
    </w:tbl>
    <w:p>
      <w:pPr>
        <w:spacing w:after="160" w:before="0" w:line="276"/>
        <w:jc w:val="both"/>
      </w:pPr>
      <w:r>
        <w:rPr>
          <w:rFonts w:ascii="Arial" w:cs="Arial" w:eastAsia="Arial" w:hAnsi="Arial"/>
          <w:b w:val="false"/>
          <w:bCs w:val="false"/>
          <w:i w:val="false"/>
          <w:iCs w:val="false"/>
          <w:color w:val="333333"/>
          <w:sz w:val="22"/>
          <w:szCs w:val="22"/>
        </w:rPr>
        <w:t xml:space="preserve">Education at 18.6% was the </w:t>
      </w:r>
      <w:r>
        <w:rPr>
          <w:rFonts w:ascii="Arial" w:cs="Arial" w:eastAsia="Arial" w:hAnsi="Arial"/>
          <w:b/>
          <w:bCs/>
          <w:i w:val="false"/>
          <w:iCs w:val="false"/>
          <w:color w:val="333333"/>
          <w:sz w:val="22"/>
          <w:szCs w:val="22"/>
        </w:rPr>
        <w:t xml:space="preserve">highest in the entire series</w:t>
      </w:r>
      <w:r>
        <w:rPr>
          <w:rFonts w:ascii="Arial" w:cs="Arial" w:eastAsia="Arial" w:hAnsi="Arial"/>
          <w:b w:val="false"/>
          <w:bCs w:val="false"/>
          <w:i w:val="false"/>
          <w:iCs w:val="false"/>
          <w:color w:val="333333"/>
          <w:sz w:val="22"/>
          <w:szCs w:val="22"/>
        </w:rPr>
        <w:t xml:space="preserve"> — a remarkable achievement in a year of political upheaval. Obras Públicas recovered to 16.1%, and Health reached 11.0%, both above their pre-crisis (1957) levels. Defense continued its decline to 9.2%.</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3. MISI Spending Balance: The Post-Coup Maximum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70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Indicator</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1957</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1958</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1959</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1960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SECURITY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Defensa</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10.3%</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10.3%</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Seguridad Pública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3.4%</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Interior/Gobernación (sec. est.)</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~2.9%</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Total Security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~20.7%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~20.4%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~15.5%</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SOCIAL/DEVELOPMENT</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Education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18.6%</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Health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10.4%</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Obras Públicas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Agriculture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~2.4%</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2.8%</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Total Social/Development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~46.3%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29.5%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44.5%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48.8%</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Ratio Social/Security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2.2x</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1.4x</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2.7x</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3.1x</w:t>
            </w:r>
          </w:p>
        </w:tc>
      </w:tr>
    </w:tbl>
    <w:p>
      <w:pPr>
        <w:spacing w:after="160" w:before="0" w:line="276"/>
        <w:jc w:val="both"/>
      </w:pPr>
      <w:r>
        <w:rPr>
          <w:rFonts w:ascii="Arial" w:cs="Arial" w:eastAsia="Arial" w:hAnsi="Arial"/>
          <w:b w:val="false"/>
          <w:bCs w:val="false"/>
          <w:i w:val="false"/>
          <w:iCs w:val="false"/>
          <w:color w:val="333333"/>
          <w:sz w:val="22"/>
          <w:szCs w:val="22"/>
        </w:rPr>
        <w:t xml:space="preserve">The MISI spending ratio reached </w:t>
      </w:r>
      <w:r>
        <w:rPr>
          <w:rFonts w:ascii="Arial" w:cs="Arial" w:eastAsia="Arial" w:hAnsi="Arial"/>
          <w:b/>
          <w:bCs/>
          <w:i w:val="false"/>
          <w:iCs w:val="false"/>
          <w:color w:val="333333"/>
          <w:sz w:val="22"/>
          <w:szCs w:val="22"/>
        </w:rPr>
        <w:t xml:space="preserve">3.1x — the highest in the entire 1952–1960 series</w:t>
      </w:r>
      <w:r>
        <w:rPr>
          <w:rFonts w:ascii="Arial" w:cs="Arial" w:eastAsia="Arial" w:hAnsi="Arial"/>
          <w:b w:val="false"/>
          <w:bCs w:val="false"/>
          <w:i w:val="false"/>
          <w:iCs w:val="false"/>
          <w:color w:val="333333"/>
          <w:sz w:val="22"/>
          <w:szCs w:val="22"/>
        </w:rPr>
        <w:t xml:space="preserve">. The post-coup government maximized developmental spending across all categories (education, health, infrastructure, agriculture) while continuing the decline in security spending that began in 1959. Consolidated security fell to ~15.5% — the lowest in the series, and </w:t>
      </w:r>
      <w:r>
        <w:rPr>
          <w:rFonts w:ascii="Arial" w:cs="Arial" w:eastAsia="Arial" w:hAnsi="Arial"/>
          <w:b/>
          <w:bCs/>
          <w:i w:val="false"/>
          <w:iCs w:val="false"/>
          <w:color w:val="333333"/>
          <w:sz w:val="22"/>
          <w:szCs w:val="22"/>
        </w:rPr>
        <w:t xml:space="preserve">nearly 5 percentage points below the ~20% floor</w:t>
      </w:r>
      <w:r>
        <w:rPr>
          <w:rFonts w:ascii="Arial" w:cs="Arial" w:eastAsia="Arial" w:hAnsi="Arial"/>
          <w:b w:val="false"/>
          <w:bCs w:val="false"/>
          <w:i w:val="false"/>
          <w:iCs w:val="false"/>
          <w:color w:val="333333"/>
          <w:sz w:val="22"/>
          <w:szCs w:val="22"/>
        </w:rPr>
        <w:t xml:space="preserve"> that had held throughout the Osorio-Lemus period.</w:t>
      </w:r>
    </w:p>
    <w:p>
      <w:pPr>
        <w:spacing w:after="160" w:before="0" w:line="276"/>
        <w:jc w:val="both"/>
      </w:pPr>
      <w:r>
        <w:rPr>
          <w:rFonts w:ascii="Arial" w:cs="Arial" w:eastAsia="Arial" w:hAnsi="Arial"/>
          <w:b w:val="false"/>
          <w:bCs w:val="false"/>
          <w:i w:val="false"/>
          <w:iCs w:val="false"/>
          <w:color w:val="333333"/>
          <w:sz w:val="22"/>
          <w:szCs w:val="22"/>
        </w:rPr>
        <w:t xml:space="preserve">This shift is analytically significant for the fiscal-political transmission mechanism: </w:t>
      </w:r>
      <w:r>
        <w:rPr>
          <w:rFonts w:ascii="Arial" w:cs="Arial" w:eastAsia="Arial" w:hAnsi="Arial"/>
          <w:b/>
          <w:bCs/>
          <w:i w:val="false"/>
          <w:iCs w:val="false"/>
          <w:color w:val="333333"/>
          <w:sz w:val="22"/>
          <w:szCs w:val="22"/>
        </w:rPr>
        <w:t xml:space="preserve">the post-coup government broke the security floor</w:t>
      </w:r>
      <w:r>
        <w:rPr>
          <w:rFonts w:ascii="Arial" w:cs="Arial" w:eastAsia="Arial" w:hAnsi="Arial"/>
          <w:b w:val="false"/>
          <w:bCs w:val="false"/>
          <w:i w:val="false"/>
          <w:iCs w:val="false"/>
          <w:color w:val="333333"/>
          <w:sz w:val="22"/>
          <w:szCs w:val="22"/>
        </w:rPr>
        <w:t xml:space="preserve">. The question for the subsequent period (1961 onward) is whether this rebalancing was sustained under the Directorio Cívico Militar and the subsequent Rivera/Molina/Romero administrations, or whether the security floor was re-established.</w:t>
      </w:r>
    </w:p>
    <w:p>
      <w:pPr>
        <w:pStyle w:val="Heading1"/>
        <w:spacing w:after="200" w:before="360" w:line="276"/>
        <w:jc w:val="both"/>
      </w:pPr>
      <w:r>
        <w:rPr>
          <w:rFonts w:ascii="Arial" w:cs="Arial" w:eastAsia="Arial" w:hAnsi="Arial"/>
          <w:b/>
          <w:bCs/>
          <w:i w:val="false"/>
          <w:iCs w:val="false"/>
          <w:color w:val="1F3864"/>
          <w:sz w:val="32"/>
          <w:szCs w:val="32"/>
        </w:rPr>
        <w:t xml:space="preserve">4. Fiscal Balance and Surplus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70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Indicator</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1957</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1958</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1959</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1960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Revenue (₡M)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189.5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167.7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157.0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171.0</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Expenditure (₡M)</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169.0</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184.7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175.8</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174.3</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Annual Balance (₡M)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−3.3</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Superávit (start of year)</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39.9</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45.7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~31.2</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Superávit (end of year)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45.7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~14.7</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Caja-Tesorería (% circ. assets)</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51.3%</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41.5%</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19.9%</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15.9%</w:t>
            </w:r>
          </w:p>
        </w:tc>
      </w:tr>
    </w:tbl>
    <w:p>
      <w:pPr>
        <w:spacing w:after="160" w:before="0" w:line="276"/>
        <w:jc w:val="both"/>
      </w:pPr>
      <w:r>
        <w:rPr>
          <w:rFonts w:ascii="Arial" w:cs="Arial" w:eastAsia="Arial" w:hAnsi="Arial"/>
          <w:b w:val="false"/>
          <w:bCs w:val="false"/>
          <w:i w:val="false"/>
          <w:iCs w:val="false"/>
          <w:color w:val="333333"/>
          <w:sz w:val="22"/>
          <w:szCs w:val="22"/>
        </w:rPr>
        <w:t xml:space="preserve">The deficit narrowed dramatically to ~₡3.3M, slowing the surplus depletion. But the treasury’s cash position continued to deteriorate: Caja-Servicio de Tesoreria fell to 15.9% of circulating assets, from 49.5% in 1956. The government had liquidity, but it was increasingly illiquid relative to its obligations. The estimated remaining surplus of ~₡14.7M, while better than the ~₡12.4M we estimated for end-1959, represents roughly one year of runway at the 1958–1959 deficit rates.</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5. Preliminary Observations</w:t>
      </w:r>
    </w:p>
    <w:p>
      <w:pPr>
        <w:spacing w:after="160" w:before="0" w:line="276"/>
        <w:jc w:val="both"/>
      </w:pPr>
      <w:r>
        <w:rPr>
          <w:rFonts w:ascii="Arial" w:cs="Arial" w:eastAsia="Arial" w:hAnsi="Arial"/>
          <w:b/>
          <w:bCs/>
          <w:i w:val="false"/>
          <w:iCs w:val="false"/>
          <w:color w:val="333333"/>
          <w:sz w:val="22"/>
          <w:szCs w:val="22"/>
        </w:rPr>
        <w:t xml:space="preserve">1. Revenue recovered but not to the 1957 peak. </w:t>
      </w:r>
      <w:r>
        <w:rPr>
          <w:rFonts w:ascii="Arial" w:cs="Arial" w:eastAsia="Arial" w:hAnsi="Arial"/>
          <w:b w:val="false"/>
          <w:bCs w:val="false"/>
          <w:i w:val="false"/>
          <w:iCs w:val="false"/>
          <w:color w:val="333333"/>
          <w:sz w:val="22"/>
          <w:szCs w:val="22"/>
        </w:rPr>
        <w:t xml:space="preserve">The 8.9% recovery was driven by import duties (the economy was growing again) but export duties barely moved (+6.0%), confirming that the coffee price damage was structural, not cyclical. Revenue at ₡171.0M remained 9.8% below the 1957 peak of ₡189.5M.</w:t>
      </w:r>
    </w:p>
    <w:p>
      <w:pPr>
        <w:spacing w:after="160" w:before="0" w:line="276"/>
        <w:jc w:val="both"/>
      </w:pPr>
      <w:r>
        <w:rPr>
          <w:rFonts w:ascii="Arial" w:cs="Arial" w:eastAsia="Arial" w:hAnsi="Arial"/>
          <w:b/>
          <w:bCs/>
          <w:i w:val="false"/>
          <w:iCs w:val="false"/>
          <w:color w:val="333333"/>
          <w:sz w:val="22"/>
          <w:szCs w:val="22"/>
        </w:rPr>
        <w:t xml:space="preserve">2. The income tax reversed. </w:t>
      </w:r>
      <w:r>
        <w:rPr>
          <w:rFonts w:ascii="Arial" w:cs="Arial" w:eastAsia="Arial" w:hAnsi="Arial"/>
          <w:b w:val="false"/>
          <w:bCs w:val="false"/>
          <w:i w:val="false"/>
          <w:iCs w:val="false"/>
          <w:color w:val="333333"/>
          <w:sz w:val="22"/>
          <w:szCs w:val="22"/>
        </w:rPr>
        <w:t xml:space="preserve">The three-year improvement (2057–1959) ended with a 13.5% decline in 1960, reflecting the lagged effect of the economic downturn on income declarations. The income tax’s countercyclical value proved to be a one-cycle phenomenon: helpful during the initial crisis, then procyclical during recovery as depressed prior-year incomes reduced current collections.</w:t>
      </w:r>
    </w:p>
    <w:p>
      <w:pPr>
        <w:spacing w:after="160" w:before="0" w:line="276"/>
        <w:jc w:val="both"/>
      </w:pPr>
      <w:r>
        <w:rPr>
          <w:rFonts w:ascii="Arial" w:cs="Arial" w:eastAsia="Arial" w:hAnsi="Arial"/>
          <w:b/>
          <w:bCs/>
          <w:i w:val="false"/>
          <w:iCs w:val="false"/>
          <w:color w:val="333333"/>
          <w:sz w:val="22"/>
          <w:szCs w:val="22"/>
        </w:rPr>
        <w:t xml:space="preserve">3. The post-coup government broke the security floor. </w:t>
      </w:r>
      <w:r>
        <w:rPr>
          <w:rFonts w:ascii="Arial" w:cs="Arial" w:eastAsia="Arial" w:hAnsi="Arial"/>
          <w:b w:val="false"/>
          <w:bCs w:val="false"/>
          <w:i w:val="false"/>
          <w:iCs w:val="false"/>
          <w:color w:val="333333"/>
          <w:sz w:val="22"/>
          <w:szCs w:val="22"/>
        </w:rPr>
        <w:t xml:space="preserve">For the first time, consolidated security spending fell well below the ~20% floor that had held throughout the Osorio-Lemus period. At ~15.5%, the Junta de Gobierno demonstrated that the security floor was a political choice, not a structural constraint. Whether this rebalancing survived the January 1961 counter-coup is a critical question for the next phase of the analysis.</w:t>
      </w:r>
    </w:p>
    <w:p>
      <w:pPr>
        <w:spacing w:after="160" w:before="0" w:line="276"/>
        <w:jc w:val="both"/>
      </w:pPr>
      <w:r>
        <w:rPr>
          <w:rFonts w:ascii="Arial" w:cs="Arial" w:eastAsia="Arial" w:hAnsi="Arial"/>
          <w:b/>
          <w:bCs/>
          <w:i w:val="false"/>
          <w:iCs w:val="false"/>
          <w:color w:val="333333"/>
          <w:sz w:val="22"/>
          <w:szCs w:val="22"/>
        </w:rPr>
        <w:t xml:space="preserve">4. Education reached its peak. </w:t>
      </w:r>
      <w:r>
        <w:rPr>
          <w:rFonts w:ascii="Arial" w:cs="Arial" w:eastAsia="Arial" w:hAnsi="Arial"/>
          <w:b w:val="false"/>
          <w:bCs w:val="false"/>
          <w:i w:val="false"/>
          <w:iCs w:val="false"/>
          <w:color w:val="333333"/>
          <w:sz w:val="22"/>
          <w:szCs w:val="22"/>
        </w:rPr>
        <w:t xml:space="preserve">At 18.6% of expenditure, education spending was the highest in the series. Combined with health at 11.0% and public works at 16.1%, the developmental sectors absorbed nearly half the budget. This was the MISI model at its most developmental.</w:t>
      </w:r>
    </w:p>
    <w:p>
      <w:pPr>
        <w:spacing w:after="160" w:before="0" w:line="276"/>
        <w:jc w:val="both"/>
      </w:pPr>
      <w:r>
        <w:rPr>
          <w:rFonts w:ascii="Arial" w:cs="Arial" w:eastAsia="Arial" w:hAnsi="Arial"/>
          <w:b/>
          <w:bCs/>
          <w:i w:val="false"/>
          <w:iCs w:val="false"/>
          <w:color w:val="333333"/>
          <w:sz w:val="22"/>
          <w:szCs w:val="22"/>
        </w:rPr>
        <w:t xml:space="preserve">5. The deficit narrowed. </w:t>
      </w:r>
      <w:r>
        <w:rPr>
          <w:rFonts w:ascii="Arial" w:cs="Arial" w:eastAsia="Arial" w:hAnsi="Arial"/>
          <w:b w:val="false"/>
          <w:bCs w:val="false"/>
          <w:i w:val="false"/>
          <w:iCs w:val="false"/>
          <w:color w:val="333333"/>
          <w:sz w:val="22"/>
          <w:szCs w:val="22"/>
        </w:rPr>
        <w:t xml:space="preserve">At ~₡3.3M, the 1960 deficit was one-fifth the size of 1958–1959. Revenue recovery plus expenditure restraint stabilized the fiscal position, slowing (though not stopping) the surplus depletion.</w:t>
      </w:r>
    </w:p>
    <w:p>
      <w:pPr>
        <w:spacing w:after="160" w:before="0" w:line="276"/>
        <w:jc w:val="both"/>
      </w:pPr>
      <w:r>
        <w:rPr>
          <w:rFonts w:ascii="Arial" w:cs="Arial" w:eastAsia="Arial" w:hAnsi="Arial"/>
          <w:b/>
          <w:bCs/>
          <w:i w:val="false"/>
          <w:iCs w:val="false"/>
          <w:color w:val="333333"/>
          <w:sz w:val="22"/>
          <w:szCs w:val="22"/>
        </w:rPr>
        <w:t xml:space="preserve">6. 1960 closes the first chapter. </w:t>
      </w:r>
      <w:r>
        <w:rPr>
          <w:rFonts w:ascii="Arial" w:cs="Arial" w:eastAsia="Arial" w:hAnsi="Arial"/>
          <w:b w:val="false"/>
          <w:bCs w:val="false"/>
          <w:i w:val="false"/>
          <w:iCs w:val="false"/>
          <w:color w:val="333333"/>
          <w:sz w:val="22"/>
          <w:szCs w:val="22"/>
        </w:rPr>
        <w:t xml:space="preserve">The Osorio-Lemus period (1950–1960) ends with a fiscal system that generated and then consumed its surplus in one complete coffee cycle. Revenue nearly tripled, then fell; surpluses accumulated, then were burned; debt grew, then stabilized. The institutional infrastructure (activity-based budgeting, quota system, government accounting) survived, but the political regime did not. The question for 1961 onward is whether the successor governments learned from this cycle or repeated it.</w:t>
      </w:r>
    </w:p>
    <w:p>
      <w:pPr>
        <w:spacing w:before="600"/>
      </w:pPr>
    </w:p>
    <w:p>
      <w:pPr>
        <w:spacing w:after="160" w:before="0" w:line="276"/>
        <w:jc w:val="center"/>
      </w:pPr>
      <w:r>
        <w:rPr>
          <w:rFonts w:ascii="Arial" w:cs="Arial" w:eastAsia="Arial" w:hAnsi="Arial"/>
          <w:b w:val="false"/>
          <w:bCs w:val="false"/>
          <w:i w:val="false"/>
          <w:iCs w:val="false"/>
          <w:color w:val="333333"/>
          <w:sz w:val="20"/>
          <w:szCs w:val="20"/>
        </w:rPr>
        <w:t xml:space="preserve">———</w:t>
      </w:r>
    </w:p>
    <w:p>
      <w:pPr>
        <w:spacing w:after="160" w:before="0" w:line="276"/>
        <w:jc w:val="both"/>
      </w:pPr>
      <w:r>
        <w:rPr>
          <w:rFonts w:ascii="Arial" w:cs="Arial" w:eastAsia="Arial" w:hAnsi="Arial"/>
          <w:b/>
          <w:bCs/>
          <w:i w:val="false"/>
          <w:iCs w:val="false"/>
          <w:color w:val="333333"/>
          <w:sz w:val="18"/>
          <w:szCs w:val="18"/>
        </w:rPr>
        <w:t xml:space="preserve">Source: </w:t>
      </w:r>
      <w:r>
        <w:rPr>
          <w:rFonts w:ascii="Arial" w:cs="Arial" w:eastAsia="Arial" w:hAnsi="Arial"/>
          <w:b w:val="false"/>
          <w:bCs w:val="false"/>
          <w:i/>
          <w:iCs/>
          <w:color w:val="333333"/>
          <w:sz w:val="18"/>
          <w:szCs w:val="18"/>
        </w:rPr>
        <w:t xml:space="preserve">Ministerio de Hacienda, Gobierno de El Salvador. Informe Complementario Constitucional, Ejercicio Fiscal de 1960.</w:t>
      </w:r>
    </w:p>
    <w:p>
      <w:pPr>
        <w:spacing w:after="160" w:before="0" w:line="276"/>
        <w:jc w:val="both"/>
      </w:pPr>
      <w:r>
        <w:rPr>
          <w:rFonts w:ascii="Arial" w:cs="Arial" w:eastAsia="Arial" w:hAnsi="Arial"/>
          <w:b w:val="false"/>
          <w:bCs w:val="false"/>
          <w:i/>
          <w:iCs/>
          <w:color w:val="333333"/>
          <w:sz w:val="18"/>
          <w:szCs w:val="18"/>
        </w:rPr>
        <w:t xml:space="preserve">Note: This Memoria was prepared under the Junta de Gobierno that replaced President Lemus after the October 26, 1960 coup. Ministerial names reflect the post-coup organizational structure.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888888"/>
        <w:sz w:val="18"/>
        <w:szCs w:val="18"/>
      </w:rPr>
      <w:t xml:space="preserve">El Salvador — Memorias de Hacienda 1960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2026-04-01T19:27:24.924Z</dcterms:created>
  <dcterms:modified xsi:type="dcterms:W3CDTF">2026-04-01T19:27:24.925Z</dcterms:modified>
</cp:coreProperties>
</file>

<file path=docProps/custom.xml><?xml version="1.0" encoding="utf-8"?>
<Properties xmlns="http://schemas.openxmlformats.org/officeDocument/2006/custom-properties" xmlns:vt="http://schemas.openxmlformats.org/officeDocument/2006/docPropsVTypes"/>
</file>