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line="276"/>
        <w:jc w:val="both"/>
      </w:pPr>
      <w:r>
        <w:rPr>
          <w:rFonts w:ascii="Arial" w:cs="Arial" w:eastAsia="Arial" w:hAnsi="Arial"/>
          <w:b/>
          <w:bCs/>
          <w:i w:val="false"/>
          <w:iCs w:val="false"/>
          <w:color w:val="1F3864"/>
          <w:sz w:val="32"/>
          <w:szCs w:val="32"/>
        </w:rPr>
        <w:t xml:space="preserve">El Salvador: Fiscal Diagnostic and Vulnerability Assessment, 1958</w:t>
      </w:r>
    </w:p>
    <w:p>
      <w:pPr>
        <w:spacing w:after="300" w:before="0" w:line="276"/>
        <w:jc w:val="both"/>
      </w:pPr>
      <w:r>
        <w:rPr>
          <w:rFonts w:ascii="Arial" w:cs="Arial" w:eastAsia="Arial" w:hAnsi="Arial"/>
          <w:b w:val="false"/>
          <w:bCs w:val="false"/>
          <w:i/>
          <w:iCs/>
          <w:color w:val="CC3333"/>
          <w:sz w:val="22"/>
          <w:szCs w:val="22"/>
        </w:rPr>
        <w:t xml:space="preserve">Technical Note — The Crisis Diagnostic</w:t>
      </w:r>
    </w:p>
    <w:p>
      <w:pPr>
        <w:pStyle w:val="Heading2"/>
        <w:spacing w:after="160" w:before="300" w:line="276"/>
        <w:jc w:val="both"/>
      </w:pPr>
      <w:r>
        <w:rPr>
          <w:rFonts w:ascii="Arial" w:cs="Arial" w:eastAsia="Arial" w:hAnsi="Arial"/>
          <w:b/>
          <w:bCs/>
          <w:i w:val="false"/>
          <w:iCs w:val="false"/>
          <w:color w:val="2E5090"/>
          <w:sz w:val="28"/>
          <w:szCs w:val="28"/>
        </w:rPr>
        <w:t xml:space="preserve">Executive Summary</w:t>
      </w:r>
    </w:p>
    <w:p>
      <w:pPr>
        <w:spacing w:after="160" w:before="0" w:line="276"/>
        <w:jc w:val="both"/>
      </w:pPr>
      <w:r>
        <w:rPr>
          <w:rFonts w:ascii="Arial" w:cs="Arial" w:eastAsia="Arial" w:hAnsi="Arial"/>
          <w:b w:val="false"/>
          <w:bCs w:val="false"/>
          <w:i w:val="false"/>
          <w:iCs w:val="false"/>
          <w:color w:val="333333"/>
          <w:sz w:val="22"/>
          <w:szCs w:val="22"/>
        </w:rPr>
        <w:t xml:space="preserve">This note presents a fiscal diagnostic for El Salvador covering fiscal year 1958 — the year the coffee crisis translated into the fiscal crisis that every prior diagnostic had warned about. The assessment shifts from “moderate debt, low stress, high vulnerability” (1957) to </w:t>
      </w:r>
      <w:r>
        <w:rPr>
          <w:rFonts w:ascii="Arial" w:cs="Arial" w:eastAsia="Arial" w:hAnsi="Arial"/>
          <w:b/>
          <w:bCs/>
          <w:i w:val="false"/>
          <w:iCs w:val="false"/>
          <w:color w:val="333333"/>
          <w:sz w:val="22"/>
          <w:szCs w:val="22"/>
        </w:rPr>
        <w:t xml:space="preserve">“high debt, high stress, critical vulnerability.”</w:t>
      </w:r>
    </w:p>
    <w:p>
      <w:pPr>
        <w:spacing w:after="160" w:before="0" w:line="276"/>
        <w:jc w:val="both"/>
      </w:pPr>
      <w:r>
        <w:rPr>
          <w:rFonts w:ascii="Arial" w:cs="Arial" w:eastAsia="Arial" w:hAnsi="Arial"/>
          <w:b/>
          <w:bCs/>
          <w:i w:val="false"/>
          <w:iCs w:val="false"/>
          <w:color w:val="333333"/>
          <w:sz w:val="22"/>
          <w:szCs w:val="22"/>
        </w:rPr>
        <w:t xml:space="preserve">Key findings:</w:t>
      </w:r>
    </w:p>
    <w:p>
      <w:pPr>
        <w:spacing w:after="100" w:line="260"/>
        <w:ind w:left="360"/>
        <w:jc w:val="both"/>
      </w:pPr>
      <w:r>
        <w:rPr>
          <w:rFonts w:ascii="Arial" w:cs="Arial" w:eastAsia="Arial" w:hAnsi="Arial"/>
          <w:b/>
          <w:bCs/>
          <w:i w:val="false"/>
          <w:iCs w:val="false"/>
          <w:color w:val="333333"/>
          <w:sz w:val="22"/>
          <w:szCs w:val="22"/>
        </w:rPr>
        <w:t xml:space="preserve">Revenue fell 11.5% (₡189.5M → ₡167.7M) — the largest decline in the ten-year series. Export duties collapsed 35% as the coffee price decline hit Decreto 836’s progressive schedule.</w:t>
      </w:r>
    </w:p>
    <w:p>
      <w:pPr>
        <w:spacing w:after="100" w:line="260"/>
        <w:ind w:left="360"/>
        <w:jc w:val="both"/>
      </w:pPr>
      <w:r>
        <w:rPr>
          <w:rFonts w:ascii="Arial" w:cs="Arial" w:eastAsia="Arial" w:hAnsi="Arial"/>
          <w:b/>
          <w:bCs/>
          <w:i w:val="false"/>
          <w:iCs w:val="false"/>
          <w:color w:val="333333"/>
          <w:sz w:val="22"/>
          <w:szCs w:val="22"/>
        </w:rPr>
        <w:t xml:space="preserve">For the first time, expenditure exceeded revenue. Total spending of ₡184.7M exceeded revenue by ₡17.0M, producing the first fiscal deficit in the series.</w:t>
      </w:r>
    </w:p>
    <w:p>
      <w:pPr>
        <w:spacing w:after="100" w:line="260"/>
        <w:ind w:left="360"/>
        <w:jc w:val="both"/>
      </w:pPr>
      <w:r>
        <w:rPr>
          <w:rFonts w:ascii="Arial" w:cs="Arial" w:eastAsia="Arial" w:hAnsi="Arial"/>
          <w:b w:val="false"/>
          <w:bCs w:val="false"/>
          <w:i w:val="false"/>
          <w:iCs w:val="false"/>
          <w:color w:val="333333"/>
          <w:sz w:val="22"/>
          <w:szCs w:val="22"/>
        </w:rPr>
        <w:t xml:space="preserve">The rigidity trap materialized: the wage bill rose 4.5% in absolute terms while revenue fell 11.5%. Capital spending (Obras Públicas) absorbed the cut, falling from 17.65% to 10.1% of expenditure.</w:t>
      </w:r>
    </w:p>
    <w:p>
      <w:pPr>
        <w:spacing w:after="100" w:line="260"/>
        <w:ind w:left="360"/>
        <w:jc w:val="both"/>
      </w:pPr>
      <w:r>
        <w:rPr>
          <w:rFonts w:ascii="Arial" w:cs="Arial" w:eastAsia="Arial" w:hAnsi="Arial"/>
          <w:b w:val="false"/>
          <w:bCs w:val="false"/>
          <w:i w:val="false"/>
          <w:iCs w:val="false"/>
          <w:color w:val="333333"/>
          <w:sz w:val="22"/>
          <w:szCs w:val="22"/>
        </w:rPr>
        <w:t xml:space="preserve">The income tax provided partial countercyclical offset, rising 15.4% to ₡18.6M (11.1% of revenue) — confirming the 1957 breakthrough was structural, but insufficient to compensate for the ₡19.1M loss in export duties.</w:t>
      </w:r>
    </w:p>
    <w:p>
      <w:pPr>
        <w:spacing w:after="100" w:line="260"/>
        <w:ind w:left="360"/>
        <w:jc w:val="both"/>
      </w:pPr>
      <w:r>
        <w:rPr>
          <w:rFonts w:ascii="Arial" w:cs="Arial" w:eastAsia="Arial" w:hAnsi="Arial"/>
          <w:b w:val="false"/>
          <w:bCs w:val="false"/>
          <w:i w:val="false"/>
          <w:iCs w:val="false"/>
          <w:color w:val="333333"/>
          <w:sz w:val="22"/>
          <w:szCs w:val="22"/>
        </w:rPr>
        <w:t xml:space="preserve">The Superávit Financiero fell ₡14.5M in one year (from ₡45.7M to ₡31.2M). At this rate of consumption, the accumulated surplus would be exhausted by 1960–1961.</w:t>
      </w:r>
    </w:p>
    <w:p>
      <w:pPr>
        <w:spacing w:after="100" w:line="260"/>
        <w:ind w:left="360"/>
        <w:jc w:val="both"/>
      </w:pPr>
      <w:r>
        <w:rPr>
          <w:rFonts w:ascii="Arial" w:cs="Arial" w:eastAsia="Arial" w:hAnsi="Arial"/>
          <w:b w:val="false"/>
          <w:bCs w:val="false"/>
          <w:i w:val="false"/>
          <w:iCs w:val="false"/>
          <w:color w:val="333333"/>
          <w:sz w:val="22"/>
          <w:szCs w:val="22"/>
        </w:rPr>
        <w:t xml:space="preserve">Total debt stabilized at ~₡45.2M as IBRD disbursements slowed, but the elevated stock represented permanent service obligations.</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1. Fiscal Accounts Summary</w:t>
      </w:r>
    </w:p>
    <w:p>
      <w:pPr>
        <w:pStyle w:val="Heading3"/>
        <w:spacing w:after="120" w:before="240" w:line="276"/>
        <w:jc w:val="both"/>
      </w:pPr>
      <w:r>
        <w:rPr>
          <w:rFonts w:ascii="Arial" w:cs="Arial" w:eastAsia="Arial" w:hAnsi="Arial"/>
          <w:b/>
          <w:bCs/>
          <w:i w:val="false"/>
          <w:iCs w:val="false"/>
          <w:color w:val="404040"/>
          <w:sz w:val="24"/>
          <w:szCs w:val="24"/>
        </w:rPr>
        <w:t xml:space="preserve">1.1 Overall Fiscal Position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189.5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167.7</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169.0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184.7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Balance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Balance as % of Revenue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+10.8%</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31.2</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Utilization Rate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90.7%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96.7%</w:t>
            </w:r>
          </w:p>
        </w:tc>
      </w:tr>
    </w:tbl>
    <w:p>
      <w:pPr>
        <w:spacing w:after="160" w:before="0" w:line="276"/>
        <w:jc w:val="both"/>
      </w:pPr>
      <w:r>
        <w:rPr>
          <w:rFonts w:ascii="Arial" w:cs="Arial" w:eastAsia="Arial" w:hAnsi="Arial"/>
          <w:b w:val="false"/>
          <w:bCs w:val="false"/>
          <w:i w:val="false"/>
          <w:iCs w:val="false"/>
          <w:color w:val="333333"/>
          <w:sz w:val="22"/>
          <w:szCs w:val="22"/>
        </w:rPr>
        <w:t xml:space="preserve">The swing from a +10.8% surplus to a −10.1% deficit represents a </w:t>
      </w:r>
      <w:r>
        <w:rPr>
          <w:rFonts w:ascii="Arial" w:cs="Arial" w:eastAsia="Arial" w:hAnsi="Arial"/>
          <w:b/>
          <w:bCs/>
          <w:i w:val="false"/>
          <w:iCs w:val="false"/>
          <w:color w:val="333333"/>
          <w:sz w:val="22"/>
          <w:szCs w:val="22"/>
        </w:rPr>
        <w:t xml:space="preserve">21 percentage-point deterioration</w:t>
      </w:r>
      <w:r>
        <w:rPr>
          <w:rFonts w:ascii="Arial" w:cs="Arial" w:eastAsia="Arial" w:hAnsi="Arial"/>
          <w:b w:val="false"/>
          <w:bCs w:val="false"/>
          <w:i w:val="false"/>
          <w:iCs w:val="false"/>
          <w:color w:val="333333"/>
          <w:sz w:val="22"/>
          <w:szCs w:val="22"/>
        </w:rPr>
        <w:t xml:space="preserve"> in one year — the most dramatic fiscal reversal in the series. The utilization rate rose to 96.7%, meaning the government exhausted nearly all budget authority while revenue was collapsing.</w:t>
      </w:r>
    </w:p>
    <w:p>
      <w:pPr>
        <w:pStyle w:val="Heading3"/>
        <w:spacing w:after="120" w:before="240" w:line="276"/>
        <w:jc w:val="both"/>
      </w:pPr>
      <w:r>
        <w:rPr>
          <w:rFonts w:ascii="Arial" w:cs="Arial" w:eastAsia="Arial" w:hAnsi="Arial"/>
          <w:b/>
          <w:bCs/>
          <w:i w:val="false"/>
          <w:iCs w:val="false"/>
          <w:color w:val="404040"/>
          <w:sz w:val="24"/>
          <w:szCs w:val="24"/>
        </w:rPr>
        <w:t xml:space="preserve">1.2 Revenue Performance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189.5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167.7</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YoY Growth</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−11.5%</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35.5</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 duties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59.4</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18.6</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r>
    </w:tbl>
    <w:p>
      <w:pPr>
        <w:pStyle w:val="Heading3"/>
        <w:spacing w:after="120" w:before="240" w:line="276"/>
        <w:jc w:val="both"/>
      </w:pPr>
      <w:r>
        <w:rPr>
          <w:rFonts w:ascii="Arial" w:cs="Arial" w:eastAsia="Arial" w:hAnsi="Arial"/>
          <w:b/>
          <w:bCs/>
          <w:i w:val="false"/>
          <w:iCs w:val="false"/>
          <w:color w:val="404040"/>
          <w:sz w:val="24"/>
          <w:szCs w:val="24"/>
        </w:rPr>
        <w:t xml:space="preserve">1.3 Expenditure Performance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Expenditure 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169.0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184.7</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Growth over prior year</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45.6%</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Operación / Total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Capital /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Obras Públicas (% total)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17.65%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r>
    </w:tbl>
    <w:p>
      <w:r>
        <w:br w:type="page"/>
      </w:r>
    </w:p>
    <w:p>
      <w:pPr>
        <w:pStyle w:val="Heading2"/>
        <w:spacing w:after="160" w:before="300" w:line="276"/>
        <w:jc w:val="both"/>
      </w:pPr>
      <w:r>
        <w:rPr>
          <w:rFonts w:ascii="Arial" w:cs="Arial" w:eastAsia="Arial" w:hAnsi="Arial"/>
          <w:b/>
          <w:bCs/>
          <w:i w:val="false"/>
          <w:iCs w:val="false"/>
          <w:color w:val="2E5090"/>
          <w:sz w:val="28"/>
          <w:szCs w:val="28"/>
        </w:rPr>
        <w:t xml:space="preserve">2. Structural Revenue Analysis</w:t>
      </w:r>
    </w:p>
    <w:p>
      <w:pPr>
        <w:pStyle w:val="Heading3"/>
        <w:spacing w:after="120" w:before="240" w:line="276"/>
        <w:jc w:val="both"/>
      </w:pPr>
      <w:r>
        <w:rPr>
          <w:rFonts w:ascii="Arial" w:cs="Arial" w:eastAsia="Arial" w:hAnsi="Arial"/>
          <w:b/>
          <w:bCs/>
          <w:i w:val="false"/>
          <w:iCs w:val="false"/>
          <w:color w:val="404040"/>
          <w:sz w:val="24"/>
          <w:szCs w:val="24"/>
        </w:rPr>
        <w:t xml:space="preserve">2.1 Revenue Concentration — The Vulnerability Realized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5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Source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 Share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 Share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 duties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−35.0%</w:t>
            </w:r>
          </w:p>
        </w:tc>
        <w:tc>
          <w:tcPr>
            <w:tcW w:type="dxa" w:w="2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CRITICAL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Consumption taxes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+15.4%</w:t>
            </w:r>
          </w:p>
        </w:tc>
        <w:tc>
          <w:tcPr>
            <w:tcW w:type="dxa" w:w="2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IMPROVING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Trade-dependent share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declining</w:t>
            </w:r>
          </w:p>
        </w:tc>
        <w:tc>
          <w:tcPr>
            <w:tcW w:type="dxa" w:w="2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STILL HIGH</w:t>
            </w:r>
          </w:p>
        </w:tc>
      </w:tr>
    </w:tbl>
    <w:p>
      <w:pPr>
        <w:spacing w:after="160" w:before="0" w:line="276"/>
        <w:jc w:val="both"/>
      </w:pPr>
      <w:r>
        <w:rPr>
          <w:rFonts w:ascii="Arial" w:cs="Arial" w:eastAsia="Arial" w:hAnsi="Arial"/>
          <w:b w:val="false"/>
          <w:bCs w:val="false"/>
          <w:i w:val="false"/>
          <w:iCs w:val="false"/>
          <w:color w:val="333333"/>
          <w:sz w:val="22"/>
          <w:szCs w:val="22"/>
        </w:rPr>
        <w:t xml:space="preserve">The export duty share collapsed from 31.1% to 21.2% — the most dramatic composition shift in the series. This confirmed the central vulnerability: the progressive export tax (Decreto 836) amplified both the upside and downside of coffee price movements. The trade-dependent share fell to ~57%, but this was </w:t>
      </w:r>
      <w:r>
        <w:rPr>
          <w:rFonts w:ascii="Arial" w:cs="Arial" w:eastAsia="Arial" w:hAnsi="Arial"/>
          <w:b/>
          <w:bCs/>
          <w:i w:val="false"/>
          <w:iCs w:val="false"/>
          <w:color w:val="333333"/>
          <w:sz w:val="22"/>
          <w:szCs w:val="22"/>
        </w:rPr>
        <w:t xml:space="preserve">not because of diversification</w:t>
      </w:r>
      <w:r>
        <w:rPr>
          <w:rFonts w:ascii="Arial" w:cs="Arial" w:eastAsia="Arial" w:hAnsi="Arial"/>
          <w:b w:val="false"/>
          <w:bCs w:val="false"/>
          <w:i w:val="false"/>
          <w:iCs w:val="false"/>
          <w:color w:val="333333"/>
          <w:sz w:val="22"/>
          <w:szCs w:val="22"/>
        </w:rPr>
        <w:t xml:space="preserve"> — it was because the trade base shrank faster than other categories.</w:t>
      </w:r>
    </w:p>
    <w:p>
      <w:pPr>
        <w:pStyle w:val="Heading3"/>
        <w:spacing w:after="120" w:before="240" w:line="276"/>
        <w:jc w:val="both"/>
      </w:pPr>
      <w:r>
        <w:rPr>
          <w:rFonts w:ascii="Arial" w:cs="Arial" w:eastAsia="Arial" w:hAnsi="Arial"/>
          <w:b/>
          <w:bCs/>
          <w:i w:val="false"/>
          <w:iCs w:val="false"/>
          <w:color w:val="404040"/>
          <w:sz w:val="24"/>
          <w:szCs w:val="24"/>
        </w:rPr>
        <w:t xml:space="preserve">2.2 Revenue Buoyancy — The Full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Growth</w:t>
            </w:r>
          </w:p>
        </w:tc>
        <w:tc>
          <w:tcPr>
            <w:tcW w:type="dxa" w:w="4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1949–1951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 to +41%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Korean War boom</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1951–1953</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 to +6%</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Post-boom normalization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1953–1954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Coffee price peak</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1954–1955</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First decline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1955–1957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 to +11%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Recovery to new peak</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1957–1958</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−11.5%</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COFFEE CRISIS — worst decline in series</w:t>
            </w:r>
          </w:p>
        </w:tc>
      </w:tr>
    </w:tbl>
    <w:p>
      <w:pPr>
        <w:spacing w:after="160" w:before="0" w:line="276"/>
        <w:jc w:val="both"/>
      </w:pPr>
      <w:r>
        <w:rPr>
          <w:rFonts w:ascii="Arial" w:cs="Arial" w:eastAsia="Arial" w:hAnsi="Arial"/>
          <w:b w:val="false"/>
          <w:bCs w:val="false"/>
          <w:i w:val="false"/>
          <w:iCs w:val="false"/>
          <w:color w:val="333333"/>
          <w:sz w:val="22"/>
          <w:szCs w:val="22"/>
        </w:rPr>
        <w:t xml:space="preserve">The ten-year cycle is now complete: boom, normalization, recovery, crash. Revenue in 1958 was back to its 1954 level, meaning four years of nominal growth were erased by a single commodity shock. The compound annual growth rate from 1949 to 1958 was ~10.3% — but with a standard deviation that makes year-to-year planning nearly impossible without reserves.</w:t>
      </w:r>
    </w:p>
    <w:p>
      <w:pPr>
        <w:pStyle w:val="Heading3"/>
        <w:spacing w:after="120" w:before="240" w:line="276"/>
        <w:jc w:val="both"/>
      </w:pPr>
      <w:r>
        <w:rPr>
          <w:rFonts w:ascii="Arial" w:cs="Arial" w:eastAsia="Arial" w:hAnsi="Arial"/>
          <w:b/>
          <w:bCs/>
          <w:i w:val="false"/>
          <w:iCs w:val="false"/>
          <w:color w:val="404040"/>
          <w:sz w:val="24"/>
          <w:szCs w:val="24"/>
        </w:rPr>
        <w:t xml:space="preserve">2.3 Tax Effort — The Income Tax as Partial Buffer</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8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Benchmark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 Total Revenue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5–10%</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 Taxes / Total Tax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15–25%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Duty / Total Revenue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Gain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Duty Loss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−19.1</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bl>
    <w:p>
      <w:pPr>
        <w:spacing w:after="160" w:before="0" w:line="276"/>
        <w:jc w:val="both"/>
      </w:pPr>
      <w:r>
        <w:rPr>
          <w:rFonts w:ascii="Arial" w:cs="Arial" w:eastAsia="Arial" w:hAnsi="Arial"/>
          <w:b w:val="false"/>
          <w:bCs w:val="false"/>
          <w:i w:val="false"/>
          <w:iCs w:val="false"/>
          <w:color w:val="333333"/>
          <w:sz w:val="22"/>
          <w:szCs w:val="22"/>
        </w:rPr>
        <w:t xml:space="preserve">The income tax’s countercyclical performance was real but grossly insufficient. Its ₡2.5M gain offset only 13% of the ₡19.1M export duty loss. The structural constraints (5% corporate rate, coffee grower exemption) meant the income tax could soften the blow but not prevent the crisis. A reformed income tax — with higher corporate rates and no sectoral exemptions — could have provided 3–4 times more offset.</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3. Expenditure Rigidity Analysis</w:t>
      </w:r>
    </w:p>
    <w:p>
      <w:pPr>
        <w:pStyle w:val="Heading3"/>
        <w:spacing w:after="120" w:before="240" w:line="276"/>
        <w:jc w:val="both"/>
      </w:pPr>
      <w:r>
        <w:rPr>
          <w:rFonts w:ascii="Arial" w:cs="Arial" w:eastAsia="Arial" w:hAnsi="Arial"/>
          <w:b/>
          <w:bCs/>
          <w:i w:val="false"/>
          <w:iCs w:val="false"/>
          <w:color w:val="404040"/>
          <w:sz w:val="24"/>
          <w:szCs w:val="24"/>
        </w:rPr>
        <w:t xml:space="preserve">3.1 Wage Bill — The Rigidity Trap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4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 expenditure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45.6%</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&gt;50%</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 revenue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50.2%</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&gt;45%</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(₡M absolute)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84.2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per ₡ of payroll</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2.50</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2.35</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1.99</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bl>
    <w:p>
      <w:pPr>
        <w:spacing w:after="160" w:before="0" w:line="276"/>
        <w:jc w:val="both"/>
      </w:pPr>
      <w:r>
        <w:rPr>
          <w:rFonts w:ascii="Arial" w:cs="Arial" w:eastAsia="Arial" w:hAnsi="Arial"/>
          <w:b w:val="false"/>
          <w:bCs w:val="false"/>
          <w:i w:val="false"/>
          <w:iCs w:val="false"/>
          <w:color w:val="333333"/>
          <w:sz w:val="22"/>
          <w:szCs w:val="22"/>
        </w:rPr>
        <w:t xml:space="preserve">The personnel-to-revenue ratio </w:t>
      </w:r>
      <w:r>
        <w:rPr>
          <w:rFonts w:ascii="Arial" w:cs="Arial" w:eastAsia="Arial" w:hAnsi="Arial"/>
          <w:b/>
          <w:bCs/>
          <w:i w:val="false"/>
          <w:iCs w:val="false"/>
          <w:color w:val="333333"/>
          <w:sz w:val="22"/>
          <w:szCs w:val="22"/>
        </w:rPr>
        <w:t xml:space="preserve">crossed the critical 45% threshold</w:t>
      </w:r>
      <w:r>
        <w:rPr>
          <w:rFonts w:ascii="Arial" w:cs="Arial" w:eastAsia="Arial" w:hAnsi="Arial"/>
          <w:b w:val="false"/>
          <w:bCs w:val="false"/>
          <w:i w:val="false"/>
          <w:iCs w:val="false"/>
          <w:color w:val="333333"/>
          <w:sz w:val="22"/>
          <w:szCs w:val="22"/>
        </w:rPr>
        <w:t xml:space="preserve"> for the first time, reaching 50.2%. This means half of all government revenue was absorbed by the wage bill alone — before any other spending. The “revenue per colon of payroll” ratio fell below 2.0 for the first time, indicating that the government’s operating capacity was being squeezed by its own payroll commitments.</w:t>
      </w:r>
    </w:p>
    <w:p>
      <w:pPr>
        <w:pStyle w:val="Heading3"/>
        <w:spacing w:after="120" w:before="240" w:line="276"/>
        <w:jc w:val="both"/>
      </w:pPr>
      <w:r>
        <w:rPr>
          <w:rFonts w:ascii="Arial" w:cs="Arial" w:eastAsia="Arial" w:hAnsi="Arial"/>
          <w:b/>
          <w:bCs/>
          <w:i w:val="false"/>
          <w:iCs w:val="false"/>
          <w:color w:val="404040"/>
          <w:sz w:val="24"/>
          <w:szCs w:val="24"/>
        </w:rPr>
        <w:t xml:space="preserve">3.2 Flexibility Index — Where Did the Adjustment Fall?</w:t>
      </w:r>
    </w:p>
    <w:tbl>
      <w:tblPr>
        <w:tblW w:type="dxa" w:w="735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25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 (%)</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 (%)</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Absolute Δ</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Flexibility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Operación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+₡11.1M</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of which: personnel</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+₡3.6M</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Subsidies &amp; transfers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−₡2.3M</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SEMI-RIGID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Capital (equipo + propiedad)</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−₡0.8M</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Clases Pasivas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+₡0.6M</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+₡0.2M</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+₡0.5M</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bl>
    <w:p>
      <w:pPr>
        <w:spacing w:after="160" w:before="0" w:line="276"/>
        <w:jc w:val="both"/>
      </w:pPr>
      <w:r>
        <w:rPr>
          <w:rFonts w:ascii="Arial" w:cs="Arial" w:eastAsia="Arial" w:hAnsi="Arial"/>
          <w:b w:val="false"/>
          <w:bCs w:val="false"/>
          <w:i w:val="false"/>
          <w:iCs w:val="false"/>
          <w:color w:val="333333"/>
          <w:sz w:val="22"/>
          <w:szCs w:val="22"/>
        </w:rPr>
        <w:t xml:space="preserve">The adjustment fell on the flexible categories, exactly as predicted. Capital spending declined, subsidies were trimmed, but operating costs and personnel rose. The expenditure </w:t>
      </w:r>
      <w:r>
        <w:rPr>
          <w:rFonts w:ascii="Arial" w:cs="Arial" w:eastAsia="Arial" w:hAnsi="Arial"/>
          <w:b/>
          <w:bCs/>
          <w:i w:val="false"/>
          <w:iCs w:val="false"/>
          <w:color w:val="333333"/>
          <w:sz w:val="22"/>
          <w:szCs w:val="22"/>
        </w:rPr>
        <w:t xml:space="preserve">grew into the revenue decline</w:t>
      </w:r>
      <w:r>
        <w:rPr>
          <w:rFonts w:ascii="Arial" w:cs="Arial" w:eastAsia="Arial" w:hAnsi="Arial"/>
          <w:b w:val="false"/>
          <w:bCs w:val="false"/>
          <w:i w:val="false"/>
          <w:iCs w:val="false"/>
          <w:color w:val="333333"/>
          <w:sz w:val="22"/>
          <w:szCs w:val="22"/>
        </w:rPr>
        <w:t xml:space="preserve"> rather than contracting to match it — the defining characteristic of a rigid fiscal system under stress.</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4. Debt Sustainability Analysis</w:t>
      </w:r>
    </w:p>
    <w:p>
      <w:pPr>
        <w:pStyle w:val="Heading3"/>
        <w:spacing w:after="120" w:before="240" w:line="276"/>
        <w:jc w:val="both"/>
      </w:pPr>
      <w:r>
        <w:rPr>
          <w:rFonts w:ascii="Arial" w:cs="Arial" w:eastAsia="Arial" w:hAnsi="Arial"/>
          <w:b/>
          <w:bCs/>
          <w:i w:val="false"/>
          <w:iCs w:val="false"/>
          <w:color w:val="404040"/>
          <w:sz w:val="24"/>
          <w:szCs w:val="24"/>
        </w:rPr>
        <w:t xml:space="preserve">4.1 Debt Stock</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4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End-1956</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End-1957</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End-1958</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42.6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~45.2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stabilizing</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External Debt (₡M)</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30.7</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~33.5</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stabilizing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Debt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~11.7</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 Revenue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19.1%</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22.5%</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27.0%</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deteriorating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~8.5</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declining</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IBRD Loan (₡M)</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21.3</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~21.3</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r>
    </w:tbl>
    <w:p>
      <w:pPr>
        <w:spacing w:after="160" w:before="0" w:line="276"/>
        <w:jc w:val="both"/>
      </w:pPr>
      <w:r>
        <w:rPr>
          <w:rFonts w:ascii="Arial" w:cs="Arial" w:eastAsia="Arial" w:hAnsi="Arial"/>
          <w:b w:val="false"/>
          <w:bCs w:val="false"/>
          <w:i w:val="false"/>
          <w:iCs w:val="false"/>
          <w:color w:val="333333"/>
          <w:sz w:val="22"/>
          <w:szCs w:val="22"/>
        </w:rPr>
        <w:t xml:space="preserve">The debt stock stabilized, but the </w:t>
      </w:r>
      <w:r>
        <w:rPr>
          <w:rFonts w:ascii="Arial" w:cs="Arial" w:eastAsia="Arial" w:hAnsi="Arial"/>
          <w:b/>
          <w:bCs/>
          <w:i w:val="false"/>
          <w:iCs w:val="false"/>
          <w:color w:val="333333"/>
          <w:sz w:val="22"/>
          <w:szCs w:val="22"/>
        </w:rPr>
        <w:t xml:space="preserve">debt-to-revenue ratio deteriorated</w:t>
      </w:r>
      <w:r>
        <w:rPr>
          <w:rFonts w:ascii="Arial" w:cs="Arial" w:eastAsia="Arial" w:hAnsi="Arial"/>
          <w:b w:val="false"/>
          <w:bCs w:val="false"/>
          <w:i w:val="false"/>
          <w:iCs w:val="false"/>
          <w:color w:val="333333"/>
          <w:sz w:val="22"/>
          <w:szCs w:val="22"/>
        </w:rPr>
        <w:t xml:space="preserve"> to 27.0% — the highest in the series — because revenue fell while debt stayed flat. This is the denominator effect: even without new borrowing, a revenue decline worsens all debt ratios.</w:t>
      </w:r>
    </w:p>
    <w:p>
      <w:pPr>
        <w:pStyle w:val="Heading3"/>
        <w:spacing w:after="120" w:before="240" w:line="276"/>
        <w:jc w:val="both"/>
      </w:pPr>
      <w:r>
        <w:rPr>
          <w:rFonts w:ascii="Arial" w:cs="Arial" w:eastAsia="Arial" w:hAnsi="Arial"/>
          <w:b/>
          <w:bCs/>
          <w:i w:val="false"/>
          <w:iCs w:val="false"/>
          <w:color w:val="404040"/>
          <w:sz w:val="24"/>
          <w:szCs w:val="24"/>
        </w:rPr>
        <w:t xml:space="preserve">4.2 Debt Service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66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c>
          <w:tcPr>
            <w:tcW w:type="dxa" w:w="1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 (econ. class)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&gt;15%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Revenue (econ. class)</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&gt;20%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Deuda Pública Ramo / Expenditure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17.5%</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 amortization (all instruments)</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~₡1.7M</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bl>
    <w:p>
      <w:pPr>
        <w:spacing w:after="160" w:before="0" w:line="276"/>
        <w:jc w:val="both"/>
      </w:pPr>
      <w:r>
        <w:rPr>
          <w:rFonts w:ascii="Arial" w:cs="Arial" w:eastAsia="Arial" w:hAnsi="Arial"/>
          <w:b w:val="false"/>
          <w:bCs w:val="false"/>
          <w:i w:val="false"/>
          <w:iCs w:val="false"/>
          <w:color w:val="333333"/>
          <w:sz w:val="22"/>
          <w:szCs w:val="22"/>
        </w:rPr>
        <w:t xml:space="preserve">The discrepancy between the economic-class debt service (2.1%) and the ramo-level Deuda Pública (17.5%) requires investigation. The ramo figure likely includes fund transfers and off-budget debt-related disbursements. If the higher figure is more representative of the true debt burden, it would push debt service well above conventional comfort thresholds.</w:t>
      </w:r>
    </w:p>
    <w:p>
      <w:pPr>
        <w:pStyle w:val="Heading3"/>
        <w:spacing w:after="120" w:before="240" w:line="276"/>
        <w:jc w:val="both"/>
      </w:pPr>
      <w:r>
        <w:rPr>
          <w:rFonts w:ascii="Arial" w:cs="Arial" w:eastAsia="Arial" w:hAnsi="Arial"/>
          <w:b/>
          <w:bCs/>
          <w:i w:val="false"/>
          <w:iCs w:val="false"/>
          <w:color w:val="404040"/>
          <w:sz w:val="24"/>
          <w:szCs w:val="24"/>
        </w:rPr>
        <w:t xml:space="preserve">4.3 Surplus Depletion Analysis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21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End-1956</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End-1957</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End-1958</w:t>
            </w:r>
          </w:p>
        </w:tc>
        <w:tc>
          <w:tcPr>
            <w:tcW w:type="dxa" w:w="2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Projection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 change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−14.5</w:t>
            </w:r>
          </w:p>
        </w:tc>
        <w:tc>
          <w:tcPr>
            <w:tcW w:type="dxa" w:w="2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At 1958 depletion 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Exhausted by mid-2060</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If deficit widens to ₡25M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2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Exhausted by early 2060</w:t>
            </w:r>
          </w:p>
        </w:tc>
      </w:tr>
    </w:tbl>
    <w:p>
      <w:pPr>
        <w:spacing w:after="160" w:before="0" w:line="276"/>
        <w:jc w:val="both"/>
      </w:pPr>
      <w:r>
        <w:rPr>
          <w:rFonts w:ascii="Arial" w:cs="Arial" w:eastAsia="Arial" w:hAnsi="Arial"/>
          <w:b w:val="false"/>
          <w:bCs w:val="false"/>
          <w:i w:val="false"/>
          <w:iCs w:val="false"/>
          <w:color w:val="333333"/>
          <w:sz w:val="22"/>
          <w:szCs w:val="22"/>
        </w:rPr>
        <w:t xml:space="preserve">The surplus depletion rate is the most urgent indicator. At ₡14.5M/year, the ₡31.2M remaining surplus would be exhausted within approximately </w:t>
      </w:r>
      <w:r>
        <w:rPr>
          <w:rFonts w:ascii="Arial" w:cs="Arial" w:eastAsia="Arial" w:hAnsi="Arial"/>
          <w:b/>
          <w:bCs/>
          <w:i w:val="false"/>
          <w:iCs w:val="false"/>
          <w:color w:val="333333"/>
          <w:sz w:val="22"/>
          <w:szCs w:val="22"/>
        </w:rPr>
        <w:t xml:space="preserve">two years</w:t>
      </w:r>
      <w:r>
        <w:rPr>
          <w:rFonts w:ascii="Arial" w:cs="Arial" w:eastAsia="Arial" w:hAnsi="Arial"/>
          <w:b w:val="false"/>
          <w:bCs w:val="false"/>
          <w:i w:val="false"/>
          <w:iCs w:val="false"/>
          <w:color w:val="333333"/>
          <w:sz w:val="22"/>
          <w:szCs w:val="22"/>
        </w:rPr>
        <w:t xml:space="preserve">. If the deficit widened further (as it would if coffee prices remained depressed and expenditure continued growing), the timeline compresses to 12–18 months. This places the fiscal exhaustion point in </w:t>
      </w:r>
      <w:r>
        <w:rPr>
          <w:rFonts w:ascii="Arial" w:cs="Arial" w:eastAsia="Arial" w:hAnsi="Arial"/>
          <w:b/>
          <w:bCs/>
          <w:i w:val="false"/>
          <w:iCs w:val="false"/>
          <w:color w:val="333333"/>
          <w:sz w:val="22"/>
          <w:szCs w:val="22"/>
        </w:rPr>
        <w:t xml:space="preserve">1960–1961</w:t>
      </w:r>
      <w:r>
        <w:rPr>
          <w:rFonts w:ascii="Arial" w:cs="Arial" w:eastAsia="Arial" w:hAnsi="Arial"/>
          <w:b w:val="false"/>
          <w:bCs w:val="false"/>
          <w:i w:val="false"/>
          <w:iCs w:val="false"/>
          <w:color w:val="333333"/>
          <w:sz w:val="22"/>
          <w:szCs w:val="22"/>
        </w:rPr>
        <w:t xml:space="preserve"> — exactly when the political crisis documented by Turcios reached its climax.</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5. Vulnerability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200"/>
        <w:gridCol w:w="28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Factor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Probability</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Trend</w:t>
            </w:r>
          </w:p>
        </w:tc>
        <w:tc>
          <w:tcPr>
            <w:tcW w:type="dxa" w:w="2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Coffee price shock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CRITICAL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REALIZED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ongoing</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None; crisis in progress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concentration</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CRITICAL</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REALIZED</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persistent</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Income tax improving but insufficient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rigidity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REALIZED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worsening</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Personnel/revenue crossed 50%</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rigidity</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REALIZED</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worsening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Adjustment falling on capital only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Surplus depletion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accelerating</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 years remaining at current rate</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sustainability</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deteriorating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Stock stable but ratios worsening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Off-budget commitments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IBRD disbursements slowing</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Political stability</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rising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Fiscal-political nexus tightening</w:t>
            </w:r>
          </w:p>
        </w:tc>
      </w:tr>
    </w:tbl>
    <w:p>
      <w:r>
        <w:br w:type="page"/>
      </w:r>
    </w:p>
    <w:p>
      <w:pPr>
        <w:pStyle w:val="Heading2"/>
        <w:spacing w:after="160" w:before="300" w:line="276"/>
        <w:jc w:val="both"/>
      </w:pPr>
      <w:r>
        <w:rPr>
          <w:rFonts w:ascii="Arial" w:cs="Arial" w:eastAsia="Arial" w:hAnsi="Arial"/>
          <w:b/>
          <w:bCs/>
          <w:i w:val="false"/>
          <w:iCs w:val="false"/>
          <w:color w:val="2E5090"/>
          <w:sz w:val="28"/>
          <w:szCs w:val="28"/>
        </w:rPr>
        <w:t xml:space="preserve">6. Dashboard</w:t>
      </w:r>
    </w:p>
    <w:p>
      <w:pPr>
        <w:spacing w:after="80" w:before="0" w:line="276"/>
        <w:jc w:val="both"/>
      </w:pPr>
      <w:r>
        <w:rPr>
          <w:rFonts w:ascii="Arial" w:cs="Arial" w:eastAsia="Arial" w:hAnsi="Arial"/>
          <w:b/>
          <w:bCs/>
          <w:i w:val="false"/>
          <w:iCs w:val="false"/>
          <w:color w:val="333333"/>
          <w:sz w:val="18"/>
          <w:szCs w:val="18"/>
        </w:rPr>
        <w:t xml:space="preserve">Summary Table — Fiscal Health Indicators, 1958</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96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growth</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−11.5%</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duty change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−35.0%</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share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Tax concentration</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EXPENDITURE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growth</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 revenue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50.2%</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Obras Públicas share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FISCAL BALANCE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balance / 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31.2</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Surplus depletion rate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−14.5M/yr</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DEBT</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 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27.0%</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stock trajectory</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accelerating</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stabilizing</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STRUCTURAL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Revenue-to-GDP</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NO DATA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Debt-to-GDP</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NO DATA</w:t>
            </w:r>
          </w:p>
        </w:tc>
      </w:tr>
    </w:tbl>
    <w:p>
      <w:r>
        <w:br w:type="page"/>
      </w:r>
    </w:p>
    <w:p>
      <w:pPr>
        <w:pStyle w:val="Heading2"/>
        <w:spacing w:after="160" w:before="300" w:line="276"/>
        <w:jc w:val="both"/>
      </w:pPr>
      <w:r>
        <w:rPr>
          <w:rFonts w:ascii="Arial" w:cs="Arial" w:eastAsia="Arial" w:hAnsi="Arial"/>
          <w:b/>
          <w:bCs/>
          <w:i w:val="false"/>
          <w:iCs w:val="false"/>
          <w:color w:val="2E5090"/>
          <w:sz w:val="28"/>
          <w:szCs w:val="28"/>
        </w:rPr>
        <w:t xml:space="preserve">7. Assessment</w:t>
      </w:r>
    </w:p>
    <w:p>
      <w:pPr>
        <w:spacing w:after="160" w:before="0" w:line="276"/>
        <w:jc w:val="both"/>
      </w:pPr>
      <w:r>
        <w:rPr>
          <w:rFonts w:ascii="Arial" w:cs="Arial" w:eastAsia="Arial" w:hAnsi="Arial"/>
          <w:b/>
          <w:bCs/>
          <w:i w:val="false"/>
          <w:iCs w:val="false"/>
          <w:color w:val="333333"/>
          <w:sz w:val="22"/>
          <w:szCs w:val="22"/>
        </w:rPr>
        <w:t xml:space="preserve">Overall: </w:t>
      </w:r>
      <w:r>
        <w:rPr>
          <w:rFonts w:ascii="Arial" w:cs="Arial" w:eastAsia="Arial" w:hAnsi="Arial"/>
          <w:b w:val="false"/>
          <w:bCs w:val="false"/>
          <w:i w:val="false"/>
          <w:iCs w:val="false"/>
          <w:color w:val="333333"/>
          <w:sz w:val="22"/>
          <w:szCs w:val="22"/>
        </w:rPr>
        <w:t xml:space="preserve">The fiscal position deteriorated from “moderate debt, low stress, high vulnerability” (1957) to </w:t>
      </w:r>
      <w:r>
        <w:rPr>
          <w:rFonts w:ascii="Arial" w:cs="Arial" w:eastAsia="Arial" w:hAnsi="Arial"/>
          <w:b/>
          <w:bCs/>
          <w:i w:val="false"/>
          <w:iCs w:val="false"/>
          <w:color w:val="333333"/>
          <w:sz w:val="22"/>
          <w:szCs w:val="22"/>
        </w:rPr>
        <w:t xml:space="preserve">“high debt, high stress, critical vulnerability.”</w:t>
      </w:r>
      <w:r>
        <w:rPr>
          <w:rFonts w:ascii="Arial" w:cs="Arial" w:eastAsia="Arial" w:hAnsi="Arial"/>
          <w:b w:val="false"/>
          <w:bCs w:val="false"/>
          <w:i w:val="false"/>
          <w:iCs w:val="false"/>
          <w:color w:val="333333"/>
          <w:sz w:val="22"/>
          <w:szCs w:val="22"/>
        </w:rPr>
        <w:t xml:space="preserve"> Every major risk identified in prior diagnostics materialized simultaneously in 1958:</w:t>
      </w:r>
    </w:p>
    <w:p>
      <w:pPr>
        <w:spacing w:after="160" w:before="0" w:line="276"/>
        <w:jc w:val="both"/>
      </w:pPr>
      <w:r>
        <w:rPr>
          <w:rFonts w:ascii="Arial" w:cs="Arial" w:eastAsia="Arial" w:hAnsi="Arial"/>
          <w:b/>
          <w:bCs/>
          <w:i w:val="false"/>
          <w:iCs w:val="false"/>
          <w:color w:val="333333"/>
          <w:sz w:val="22"/>
          <w:szCs w:val="22"/>
        </w:rPr>
        <w:t xml:space="preserve">The coffee price shock produced a 35% collapse in export duties. </w:t>
      </w:r>
      <w:r>
        <w:rPr>
          <w:rFonts w:ascii="Arial" w:cs="Arial" w:eastAsia="Arial" w:hAnsi="Arial"/>
          <w:b w:val="false"/>
          <w:bCs w:val="false"/>
          <w:i w:val="false"/>
          <w:iCs w:val="false"/>
          <w:color w:val="333333"/>
          <w:sz w:val="22"/>
          <w:szCs w:val="22"/>
        </w:rPr>
        <w:t xml:space="preserve">The progressive export tax (Decreto 836) amplified the price decline into a revenue collapse, exactly as the 1952–1953 diagnostic warned. With no stabilization fund, no fiscal rule, and no countercyclical mechanism, the government absorbed the full shock.</w:t>
      </w:r>
    </w:p>
    <w:p>
      <w:pPr>
        <w:spacing w:after="160" w:before="0" w:line="276"/>
        <w:jc w:val="both"/>
      </w:pPr>
      <w:r>
        <w:rPr>
          <w:rFonts w:ascii="Arial" w:cs="Arial" w:eastAsia="Arial" w:hAnsi="Arial"/>
          <w:b/>
          <w:bCs/>
          <w:i w:val="false"/>
          <w:iCs w:val="false"/>
          <w:color w:val="333333"/>
          <w:sz w:val="22"/>
          <w:szCs w:val="22"/>
        </w:rPr>
        <w:t xml:space="preserve">Expenditure rigidity prevented adjustment. </w:t>
      </w:r>
      <w:r>
        <w:rPr>
          <w:rFonts w:ascii="Arial" w:cs="Arial" w:eastAsia="Arial" w:hAnsi="Arial"/>
          <w:b w:val="false"/>
          <w:bCs w:val="false"/>
          <w:i w:val="false"/>
          <w:iCs w:val="false"/>
          <w:color w:val="333333"/>
          <w:sz w:val="22"/>
          <w:szCs w:val="22"/>
        </w:rPr>
        <w:t xml:space="preserve">The wage bill rose in absolute terms, subsidies were difficult to cut, and debt service was contractual. The only significant adjustment was in capital spending — precisely the investment that the developmental model depended on. The government was cannibalizing its own growth strategy to service its current commitments.</w:t>
      </w:r>
    </w:p>
    <w:p>
      <w:pPr>
        <w:spacing w:after="160" w:before="0" w:line="276"/>
        <w:jc w:val="both"/>
      </w:pPr>
      <w:r>
        <w:rPr>
          <w:rFonts w:ascii="Arial" w:cs="Arial" w:eastAsia="Arial" w:hAnsi="Arial"/>
          <w:b/>
          <w:bCs/>
          <w:i w:val="false"/>
          <w:iCs w:val="false"/>
          <w:color w:val="333333"/>
          <w:sz w:val="22"/>
          <w:szCs w:val="22"/>
        </w:rPr>
        <w:t xml:space="preserve">The surplus buffer is being rapidly consumed. </w:t>
      </w:r>
      <w:r>
        <w:rPr>
          <w:rFonts w:ascii="Arial" w:cs="Arial" w:eastAsia="Arial" w:hAnsi="Arial"/>
          <w:b w:val="false"/>
          <w:bCs w:val="false"/>
          <w:i w:val="false"/>
          <w:iCs w:val="false"/>
          <w:color w:val="333333"/>
          <w:sz w:val="22"/>
          <w:szCs w:val="22"/>
        </w:rPr>
        <w:t xml:space="preserve">The ₡14.5M depletion rate places fiscal exhaustion in 1960–1961 — a timeline that coincides with the political crisis documented by Turcios. The fiscal constraint and the political constraint were converging: the government was running out of both money and legitimacy simultaneously.</w:t>
      </w:r>
    </w:p>
    <w:p>
      <w:pPr>
        <w:spacing w:after="160" w:before="0" w:line="276"/>
        <w:jc w:val="both"/>
      </w:pPr>
      <w:r>
        <w:rPr>
          <w:rFonts w:ascii="Arial" w:cs="Arial" w:eastAsia="Arial" w:hAnsi="Arial"/>
          <w:b/>
          <w:bCs/>
          <w:i w:val="false"/>
          <w:iCs w:val="false"/>
          <w:color w:val="333333"/>
          <w:sz w:val="22"/>
          <w:szCs w:val="22"/>
        </w:rPr>
        <w:t xml:space="preserve">The income tax provided the only structural positive. </w:t>
      </w:r>
      <w:r>
        <w:rPr>
          <w:rFonts w:ascii="Arial" w:cs="Arial" w:eastAsia="Arial" w:hAnsi="Arial"/>
          <w:b w:val="false"/>
          <w:bCs w:val="false"/>
          <w:i w:val="false"/>
          <w:iCs w:val="false"/>
          <w:color w:val="333333"/>
          <w:sz w:val="22"/>
          <w:szCs w:val="22"/>
        </w:rPr>
        <w:t xml:space="preserve">Its continued growth to 11.1% of revenue demonstrated that tax diversification was possible even under the existing legal framework. But the constraints of Decreto 510 (5% corporate rate) and Decreto 836 (coffee exemption) meant the income tax could soften the crisis but not prevent it. A reformed income tax could have provided 3–4x more countercyclical offset — but reform required political capital that the Lemus administration did not have.</w:t>
      </w:r>
    </w:p>
    <w:p>
      <w:pPr>
        <w:spacing w:after="160" w:before="0" w:line="276"/>
        <w:jc w:val="both"/>
      </w:pPr>
      <w:r>
        <w:rPr>
          <w:rFonts w:ascii="Arial" w:cs="Arial" w:eastAsia="Arial" w:hAnsi="Arial"/>
          <w:b/>
          <w:bCs/>
          <w:i w:val="false"/>
          <w:iCs w:val="false"/>
          <w:color w:val="333333"/>
          <w:sz w:val="22"/>
          <w:szCs w:val="22"/>
        </w:rPr>
        <w:t xml:space="preserve">Forward outlook: </w:t>
      </w:r>
      <w:r>
        <w:rPr>
          <w:rFonts w:ascii="Arial" w:cs="Arial" w:eastAsia="Arial" w:hAnsi="Arial"/>
          <w:b w:val="false"/>
          <w:bCs w:val="false"/>
          <w:i w:val="false"/>
          <w:iCs w:val="false"/>
          <w:color w:val="333333"/>
          <w:sz w:val="22"/>
          <w:szCs w:val="22"/>
        </w:rPr>
        <w:t xml:space="preserve">Unless coffee prices recover significantly, the government faces 12–24 months before the surplus is exhausted. At that point, the options narrow to: (a) emergency borrowing (domestic or external), (b) emergency spending cuts (politically explosive), or (c) revenue reform (requiring legislative action the PRUD may not be able to deliver). History records that none of these options were successfully implemented before the October 1960 coup that ended the Lemus presidency.</w:t>
      </w:r>
    </w:p>
    <w:p>
      <w:pPr>
        <w:spacing w:before="4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Sources: </w:t>
      </w:r>
      <w:r>
        <w:rPr>
          <w:rFonts w:ascii="Arial" w:cs="Arial" w:eastAsia="Arial" w:hAnsi="Arial"/>
          <w:b w:val="false"/>
          <w:bCs w:val="false"/>
          <w:i/>
          <w:iCs/>
          <w:color w:val="333333"/>
          <w:sz w:val="18"/>
          <w:szCs w:val="18"/>
        </w:rPr>
        <w:t xml:space="preserve">Ministerio de Hacienda, Gobierno de El Salvador. Informe Complementario Constitucional, Ejercicio Fiscal de 1958. Analytical framework follows IMF Fiscal Transparency Code (2019), IMF DSA-LIC framework, and standard PFM diagnostic methodology.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Fiscal Diagnostic 1958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2026-04-01T18:01:49.976Z</dcterms:created>
  <dcterms:modified xsi:type="dcterms:W3CDTF">2026-04-01T18:01:49.977Z</dcterms:modified>
</cp:coreProperties>
</file>

<file path=docProps/custom.xml><?xml version="1.0" encoding="utf-8"?>
<Properties xmlns="http://schemas.openxmlformats.org/officeDocument/2006/custom-properties" xmlns:vt="http://schemas.openxmlformats.org/officeDocument/2006/docPropsVTypes"/>
</file>