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F3E9" w14:textId="77777777" w:rsidR="00392CC6" w:rsidRDefault="00C76AF3">
      <w:pPr>
        <w:pStyle w:val="Title"/>
      </w:pPr>
      <w:r>
        <w:t>El Salvador: Fiscal Diagnostic and Vulnerability Assessment, 1952</w:t>
      </w:r>
      <w:r>
        <w:t>���</w:t>
      </w:r>
      <w:r>
        <w:t>1953</w:t>
      </w:r>
    </w:p>
    <w:p w14:paraId="1153FF80" w14:textId="77777777" w:rsidR="00392CC6" w:rsidRDefault="00C76AF3">
      <w:pPr>
        <w:pStyle w:val="Heading1"/>
      </w:pPr>
      <w:bookmarkStart w:id="0" w:name="X41c54c817d40f99e8ea66d3167861040b3a6d24"/>
      <w:r>
        <w:t>El Salvador: Fiscal Diagnostic and Vulnerability Assessment, 1952–1953</w:t>
      </w:r>
    </w:p>
    <w:p w14:paraId="5E7D7A69" w14:textId="77777777" w:rsidR="00392CC6" w:rsidRDefault="00C76AF3">
      <w:pPr>
        <w:pStyle w:val="FirstParagraph"/>
      </w:pPr>
      <w:r>
        <w:rPr>
          <w:b/>
          <w:bCs/>
        </w:rPr>
        <w:t>Technical Note — Preliminary Assessment Based on Primary Fiscal Data</w:t>
      </w:r>
    </w:p>
    <w:p w14:paraId="0ECDEEBB" w14:textId="77777777" w:rsidR="00392CC6" w:rsidRDefault="00C76AF3">
      <w:r>
        <w:pict w14:anchorId="433BA33D">
          <v:rect id="_x0000_i1025" style="width:0;height:1.5pt" o:hralign="center" o:hrstd="t" o:hr="t"/>
        </w:pict>
      </w:r>
    </w:p>
    <w:p w14:paraId="0D4C3495" w14:textId="77777777" w:rsidR="00392CC6" w:rsidRDefault="00C76AF3">
      <w:pPr>
        <w:pStyle w:val="Heading2"/>
      </w:pPr>
      <w:bookmarkStart w:id="1" w:name="executive-summary"/>
      <w:r>
        <w:t>Executive Summary</w:t>
      </w:r>
    </w:p>
    <w:p w14:paraId="3F89F7E5" w14:textId="77777777" w:rsidR="00392CC6" w:rsidRDefault="00C76AF3">
      <w:pPr>
        <w:pStyle w:val="FirstParagraph"/>
      </w:pPr>
      <w:r>
        <w:t>This note presents a preliminary fiscal diagnostic for El Salvador covering fiscal years 1952 and 1953, drawing exclusively on data from the Memorias de Hacienda (annual reports of the Ministry of Finance). The analysis applies standard fiscal assessment frameworks — of the kind used by the International Monetary Fund (IMF) and comparable institutions — to evaluate the structural soundness and vulnerability of El Salvador’s fiscal position during this period.</w:t>
      </w:r>
    </w:p>
    <w:p w14:paraId="2AF7D5C6" w14:textId="77777777" w:rsidR="00392CC6" w:rsidRDefault="00C76AF3">
      <w:pPr>
        <w:pStyle w:val="BodyText"/>
      </w:pPr>
      <w:r>
        <w:rPr>
          <w:b/>
          <w:bCs/>
        </w:rPr>
        <w:t>Key findings:</w:t>
      </w:r>
    </w:p>
    <w:p w14:paraId="00D0CEA5" w14:textId="77777777" w:rsidR="00392CC6" w:rsidRDefault="00C76AF3">
      <w:pPr>
        <w:pStyle w:val="Compact"/>
        <w:numPr>
          <w:ilvl w:val="0"/>
          <w:numId w:val="2"/>
        </w:numPr>
      </w:pPr>
      <w:r>
        <w:t xml:space="preserve">El Salvador’s fiscal position in 1952–53 was </w:t>
      </w:r>
      <w:r>
        <w:rPr>
          <w:b/>
          <w:bCs/>
        </w:rPr>
        <w:t>fundamentally sound but structurally fragile</w:t>
      </w:r>
      <w:r>
        <w:t>. The government ran headline surpluses in both years, debt was modest and declining, and debt service was manageable.</w:t>
      </w:r>
    </w:p>
    <w:p w14:paraId="65944EE1" w14:textId="77777777" w:rsidR="00392CC6" w:rsidRDefault="00C76AF3">
      <w:pPr>
        <w:pStyle w:val="Compact"/>
        <w:numPr>
          <w:ilvl w:val="0"/>
          <w:numId w:val="2"/>
        </w:numPr>
      </w:pPr>
      <w:r>
        <w:t xml:space="preserve">However, the revenue base was </w:t>
      </w:r>
      <w:r>
        <w:rPr>
          <w:b/>
          <w:bCs/>
        </w:rPr>
        <w:t>dangerously concentrated</w:t>
      </w:r>
      <w:r>
        <w:t xml:space="preserve"> in trade taxes (87% of total revenue), with customs duties alone accounting for over 70% of all government income. This created an extreme exposure to coffee price cycles.</w:t>
      </w:r>
    </w:p>
    <w:p w14:paraId="05A2FDC3" w14:textId="77777777" w:rsidR="00392CC6" w:rsidRDefault="00C76AF3">
      <w:pPr>
        <w:pStyle w:val="Compact"/>
        <w:numPr>
          <w:ilvl w:val="0"/>
          <w:numId w:val="2"/>
        </w:numPr>
      </w:pPr>
      <w:r>
        <w:rPr>
          <w:b/>
          <w:bCs/>
        </w:rPr>
        <w:t>Expenditure rigidity was high</w:t>
      </w:r>
      <w:r>
        <w:t>: the wage bill absorbed 44–48% of total spending, leaving limited room for fiscal adjustment in a downturn.</w:t>
      </w:r>
    </w:p>
    <w:p w14:paraId="58EDCF9F" w14:textId="77777777" w:rsidR="00392CC6" w:rsidRDefault="00C76AF3">
      <w:pPr>
        <w:pStyle w:val="Compact"/>
        <w:numPr>
          <w:ilvl w:val="0"/>
          <w:numId w:val="2"/>
        </w:numPr>
      </w:pPr>
      <w:r>
        <w:rPr>
          <w:b/>
          <w:bCs/>
        </w:rPr>
        <w:t>A dual-budget architecture</w:t>
      </w:r>
      <w:r>
        <w:t xml:space="preserve"> — separating ordinary and extraordinary budgets — meant that the headline surplus of the General Fund understated the government’s true fiscal footprint. Off-budget capital commitments financed through earmarked borrowing added a layer of fiscal activity not captured in the headline numbers.</w:t>
      </w:r>
    </w:p>
    <w:p w14:paraId="3642DFED" w14:textId="77777777" w:rsidR="00392CC6" w:rsidRDefault="00C76AF3">
      <w:pPr>
        <w:pStyle w:val="Compact"/>
        <w:numPr>
          <w:ilvl w:val="0"/>
          <w:numId w:val="2"/>
        </w:numPr>
      </w:pPr>
      <w:r>
        <w:rPr>
          <w:b/>
          <w:bCs/>
        </w:rPr>
        <w:t>Debt was not a constraint but was poorly diversified</w:t>
      </w:r>
      <w:r>
        <w:t>: the Empréstito Nacional de 1922 represented 62% of total public debt, creating concentration risk in a single legacy instrument.</w:t>
      </w:r>
    </w:p>
    <w:p w14:paraId="3E9566C8" w14:textId="77777777" w:rsidR="00392CC6" w:rsidRDefault="00C76AF3">
      <w:pPr>
        <w:pStyle w:val="FirstParagraph"/>
      </w:pPr>
      <w:r>
        <w:rPr>
          <w:b/>
          <w:bCs/>
        </w:rPr>
        <w:t>Currency note:</w:t>
      </w:r>
      <w:r>
        <w:t xml:space="preserve"> El Salvador maintained a fixed exchange rate of US$1.00 = ₡2.50 (colones) throughout the period under study. All figures are in colones unless otherwise indicated.</w:t>
      </w:r>
    </w:p>
    <w:p w14:paraId="0494DEC7" w14:textId="77777777" w:rsidR="00392CC6" w:rsidRDefault="00C76AF3">
      <w:r>
        <w:pict w14:anchorId="61F2312D">
          <v:rect id="_x0000_i1026" style="width:0;height:1.5pt" o:hralign="center" o:hrstd="t" o:hr="t"/>
        </w:pict>
      </w:r>
    </w:p>
    <w:p w14:paraId="5E331CC8" w14:textId="77777777" w:rsidR="00392CC6" w:rsidRDefault="00C76AF3">
      <w:pPr>
        <w:pStyle w:val="Heading2"/>
      </w:pPr>
      <w:bookmarkStart w:id="2" w:name="fiscal-accounts-summary"/>
      <w:bookmarkEnd w:id="1"/>
      <w:r>
        <w:t>1. Fiscal Accounts Summary</w:t>
      </w:r>
    </w:p>
    <w:p w14:paraId="69E4101A" w14:textId="77777777" w:rsidR="00392CC6" w:rsidRDefault="00C76AF3">
      <w:pPr>
        <w:pStyle w:val="Heading3"/>
      </w:pPr>
      <w:bookmarkStart w:id="3" w:name="overall-fiscal-position"/>
      <w:r>
        <w:t>1.1 Overall Fiscal Position</w:t>
      </w:r>
    </w:p>
    <w:tbl>
      <w:tblPr>
        <w:tblStyle w:val="Table"/>
        <w:tblW w:w="5000" w:type="pct"/>
        <w:tblLook w:val="0020" w:firstRow="1" w:lastRow="0" w:firstColumn="0" w:lastColumn="0" w:noHBand="0" w:noVBand="0"/>
      </w:tblPr>
      <w:tblGrid>
        <w:gridCol w:w="5222"/>
        <w:gridCol w:w="1885"/>
        <w:gridCol w:w="2253"/>
      </w:tblGrid>
      <w:tr w:rsidR="00392CC6" w14:paraId="5BE1E118"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6D4AA16A" w14:textId="77777777" w:rsidR="00392CC6" w:rsidRDefault="00C76AF3">
            <w:pPr>
              <w:pStyle w:val="Compact"/>
            </w:pPr>
            <w:r>
              <w:t>Indicator</w:t>
            </w:r>
          </w:p>
        </w:tc>
        <w:tc>
          <w:tcPr>
            <w:tcW w:w="0" w:type="auto"/>
          </w:tcPr>
          <w:p w14:paraId="631F55E5" w14:textId="77777777" w:rsidR="00392CC6" w:rsidRDefault="00C76AF3">
            <w:pPr>
              <w:pStyle w:val="Compact"/>
              <w:jc w:val="center"/>
            </w:pPr>
            <w:r>
              <w:t>1952</w:t>
            </w:r>
          </w:p>
        </w:tc>
        <w:tc>
          <w:tcPr>
            <w:tcW w:w="0" w:type="auto"/>
          </w:tcPr>
          <w:p w14:paraId="442F0BBB" w14:textId="77777777" w:rsidR="00392CC6" w:rsidRDefault="00C76AF3">
            <w:pPr>
              <w:pStyle w:val="Compact"/>
              <w:jc w:val="center"/>
            </w:pPr>
            <w:r>
              <w:t>1953</w:t>
            </w:r>
          </w:p>
        </w:tc>
      </w:tr>
      <w:tr w:rsidR="00392CC6" w14:paraId="1D96ECCA" w14:textId="77777777">
        <w:tc>
          <w:tcPr>
            <w:tcW w:w="0" w:type="auto"/>
          </w:tcPr>
          <w:p w14:paraId="03853F99" w14:textId="77777777" w:rsidR="00392CC6" w:rsidRDefault="00C76AF3">
            <w:pPr>
              <w:pStyle w:val="Compact"/>
            </w:pPr>
            <w:r>
              <w:t>Total Revenue (percibidas y devengadas)</w:t>
            </w:r>
          </w:p>
        </w:tc>
        <w:tc>
          <w:tcPr>
            <w:tcW w:w="0" w:type="auto"/>
          </w:tcPr>
          <w:p w14:paraId="29E576F2" w14:textId="77777777" w:rsidR="00392CC6" w:rsidRDefault="00C76AF3">
            <w:pPr>
              <w:pStyle w:val="Compact"/>
              <w:jc w:val="center"/>
            </w:pPr>
            <w:r>
              <w:t>₡</w:t>
            </w:r>
            <w:r>
              <w:t>135,159,655</w:t>
            </w:r>
          </w:p>
        </w:tc>
        <w:tc>
          <w:tcPr>
            <w:tcW w:w="0" w:type="auto"/>
          </w:tcPr>
          <w:p w14:paraId="6310FBC0" w14:textId="77777777" w:rsidR="00392CC6" w:rsidRDefault="00C76AF3">
            <w:pPr>
              <w:pStyle w:val="Compact"/>
              <w:jc w:val="center"/>
            </w:pPr>
            <w:r>
              <w:t>₡</w:t>
            </w:r>
            <w:r>
              <w:t>140,296,725</w:t>
            </w:r>
          </w:p>
        </w:tc>
      </w:tr>
      <w:tr w:rsidR="00392CC6" w14:paraId="2B24C2AF" w14:textId="77777777">
        <w:tc>
          <w:tcPr>
            <w:tcW w:w="0" w:type="auto"/>
          </w:tcPr>
          <w:p w14:paraId="4206B469" w14:textId="77777777" w:rsidR="00392CC6" w:rsidRDefault="00C76AF3">
            <w:pPr>
              <w:pStyle w:val="Compact"/>
            </w:pPr>
            <w:r>
              <w:t>Total Expenditure (General Fund)</w:t>
            </w:r>
          </w:p>
        </w:tc>
        <w:tc>
          <w:tcPr>
            <w:tcW w:w="0" w:type="auto"/>
          </w:tcPr>
          <w:p w14:paraId="1643EE5F" w14:textId="77777777" w:rsidR="00392CC6" w:rsidRDefault="00C76AF3">
            <w:pPr>
              <w:pStyle w:val="Compact"/>
              <w:jc w:val="center"/>
            </w:pPr>
            <w:r>
              <w:t>₡</w:t>
            </w:r>
            <w:r>
              <w:t>112,074,041</w:t>
            </w:r>
          </w:p>
        </w:tc>
        <w:tc>
          <w:tcPr>
            <w:tcW w:w="0" w:type="auto"/>
          </w:tcPr>
          <w:p w14:paraId="471C7E44" w14:textId="77777777" w:rsidR="00392CC6" w:rsidRDefault="00C76AF3">
            <w:pPr>
              <w:pStyle w:val="Compact"/>
              <w:jc w:val="center"/>
            </w:pPr>
            <w:r>
              <w:t>₡</w:t>
            </w:r>
            <w:r>
              <w:t>124,053,563</w:t>
            </w:r>
          </w:p>
        </w:tc>
      </w:tr>
      <w:tr w:rsidR="00392CC6" w14:paraId="3DEED9EA" w14:textId="77777777">
        <w:tc>
          <w:tcPr>
            <w:tcW w:w="0" w:type="auto"/>
          </w:tcPr>
          <w:p w14:paraId="3C4D6E18" w14:textId="77777777" w:rsidR="00392CC6" w:rsidRDefault="00C76AF3">
            <w:pPr>
              <w:pStyle w:val="Compact"/>
            </w:pPr>
            <w:r>
              <w:rPr>
                <w:b/>
                <w:bCs/>
              </w:rPr>
              <w:t>Headline Fiscal Balance (General Fund)</w:t>
            </w:r>
          </w:p>
        </w:tc>
        <w:tc>
          <w:tcPr>
            <w:tcW w:w="0" w:type="auto"/>
          </w:tcPr>
          <w:p w14:paraId="0185633E" w14:textId="77777777" w:rsidR="00392CC6" w:rsidRDefault="00C76AF3">
            <w:pPr>
              <w:pStyle w:val="Compact"/>
              <w:jc w:val="center"/>
            </w:pPr>
            <w:r>
              <w:rPr>
                <w:b/>
                <w:bCs/>
              </w:rPr>
              <w:t>₡</w:t>
            </w:r>
            <w:r>
              <w:rPr>
                <w:b/>
                <w:bCs/>
              </w:rPr>
              <w:t>23,085,614</w:t>
            </w:r>
          </w:p>
        </w:tc>
        <w:tc>
          <w:tcPr>
            <w:tcW w:w="0" w:type="auto"/>
          </w:tcPr>
          <w:p w14:paraId="753CF0CD" w14:textId="77777777" w:rsidR="00392CC6" w:rsidRDefault="00C76AF3">
            <w:pPr>
              <w:pStyle w:val="Compact"/>
              <w:jc w:val="center"/>
            </w:pPr>
            <w:r>
              <w:rPr>
                <w:b/>
                <w:bCs/>
              </w:rPr>
              <w:t>₡</w:t>
            </w:r>
            <w:r>
              <w:rPr>
                <w:b/>
                <w:bCs/>
              </w:rPr>
              <w:t>16,243,162</w:t>
            </w:r>
          </w:p>
        </w:tc>
      </w:tr>
      <w:tr w:rsidR="00392CC6" w14:paraId="5640628B" w14:textId="77777777">
        <w:tc>
          <w:tcPr>
            <w:tcW w:w="0" w:type="auto"/>
          </w:tcPr>
          <w:p w14:paraId="0F2ACB8A" w14:textId="77777777" w:rsidR="00392CC6" w:rsidRDefault="00C76AF3">
            <w:pPr>
              <w:pStyle w:val="Compact"/>
            </w:pPr>
            <w:r>
              <w:t>Headline Balance as % of Revenue</w:t>
            </w:r>
          </w:p>
        </w:tc>
        <w:tc>
          <w:tcPr>
            <w:tcW w:w="0" w:type="auto"/>
          </w:tcPr>
          <w:p w14:paraId="77CF2553" w14:textId="77777777" w:rsidR="00392CC6" w:rsidRDefault="00C76AF3">
            <w:pPr>
              <w:pStyle w:val="Compact"/>
              <w:jc w:val="center"/>
            </w:pPr>
            <w:r>
              <w:t>17.1%</w:t>
            </w:r>
          </w:p>
        </w:tc>
        <w:tc>
          <w:tcPr>
            <w:tcW w:w="0" w:type="auto"/>
          </w:tcPr>
          <w:p w14:paraId="60D7EA32" w14:textId="77777777" w:rsidR="00392CC6" w:rsidRDefault="00C76AF3">
            <w:pPr>
              <w:pStyle w:val="Compact"/>
              <w:jc w:val="center"/>
            </w:pPr>
            <w:r>
              <w:t>11.6%</w:t>
            </w:r>
          </w:p>
        </w:tc>
      </w:tr>
      <w:tr w:rsidR="00392CC6" w14:paraId="3B56F873" w14:textId="77777777">
        <w:tc>
          <w:tcPr>
            <w:tcW w:w="0" w:type="auto"/>
          </w:tcPr>
          <w:p w14:paraId="7F115B4A" w14:textId="77777777" w:rsidR="00392CC6" w:rsidRDefault="00C76AF3">
            <w:pPr>
              <w:pStyle w:val="Compact"/>
            </w:pPr>
            <w:r>
              <w:t>Superávit Financiero (end of year)</w:t>
            </w:r>
          </w:p>
        </w:tc>
        <w:tc>
          <w:tcPr>
            <w:tcW w:w="0" w:type="auto"/>
          </w:tcPr>
          <w:p w14:paraId="57E81C32" w14:textId="77777777" w:rsidR="00392CC6" w:rsidRDefault="00C76AF3">
            <w:pPr>
              <w:pStyle w:val="Compact"/>
              <w:jc w:val="center"/>
            </w:pPr>
            <w:r>
              <w:t>₡</w:t>
            </w:r>
            <w:r>
              <w:t>4,061,331</w:t>
            </w:r>
          </w:p>
        </w:tc>
        <w:tc>
          <w:tcPr>
            <w:tcW w:w="0" w:type="auto"/>
          </w:tcPr>
          <w:p w14:paraId="7E8E7CCE" w14:textId="77777777" w:rsidR="00392CC6" w:rsidRDefault="00C76AF3">
            <w:pPr>
              <w:pStyle w:val="Compact"/>
              <w:jc w:val="center"/>
            </w:pPr>
            <w:r>
              <w:t>₡</w:t>
            </w:r>
            <w:r>
              <w:t>1,257,000 (est.)</w:t>
            </w:r>
          </w:p>
        </w:tc>
      </w:tr>
    </w:tbl>
    <w:p w14:paraId="1286394F" w14:textId="77777777" w:rsidR="00392CC6" w:rsidRDefault="00C76AF3">
      <w:pPr>
        <w:pStyle w:val="BodyText"/>
      </w:pPr>
      <w:r>
        <w:t xml:space="preserve">The General Fund recorded substantial surpluses in both years. However, the </w:t>
      </w:r>
      <w:r>
        <w:rPr>
          <w:b/>
          <w:bCs/>
        </w:rPr>
        <w:t>Superávit Financiero</w:t>
      </w:r>
      <w:r>
        <w:t xml:space="preserve"> — the government’s actual cash-and-obligations position — was considerably smaller (₡4.1 million at end-1952, declining to approximately ₡1.3 million at end-1953), reflecting the difference between budget-basis accounting and the treasury’s actual liquidity position.</w:t>
      </w:r>
    </w:p>
    <w:p w14:paraId="425143E5" w14:textId="77777777" w:rsidR="00392CC6" w:rsidRDefault="00C76AF3">
      <w:pPr>
        <w:pStyle w:val="BodyText"/>
      </w:pPr>
      <w:r>
        <w:rPr>
          <w:b/>
          <w:bCs/>
        </w:rPr>
        <w:t>Interpretation:</w:t>
      </w:r>
      <w:r>
        <w:t xml:space="preserve"> The wide gap between the headline surplus and the financial surplus (Superávit Financiero) signals that a significant portion of budgeted revenue was not yet collected (accrued but unpaid customs duties), and that outstanding commitments and reserves absorbed much of the nominal excess. This is a common pattern in fiscally dependent trade-tax economies: revenues are booked on an accrual basis linked to import/export policies, but cash flows are lumpy and seasonal.</w:t>
      </w:r>
    </w:p>
    <w:p w14:paraId="42A68ADF" w14:textId="77777777" w:rsidR="00392CC6" w:rsidRDefault="00C76AF3">
      <w:pPr>
        <w:pStyle w:val="Heading3"/>
      </w:pPr>
      <w:bookmarkStart w:id="4" w:name="revenue-performance"/>
      <w:bookmarkEnd w:id="3"/>
      <w:r>
        <w:t>1.2 Revenue Performance</w:t>
      </w:r>
    </w:p>
    <w:tbl>
      <w:tblPr>
        <w:tblStyle w:val="Table"/>
        <w:tblW w:w="5000" w:type="pct"/>
        <w:tblLook w:val="0020" w:firstRow="1" w:lastRow="0" w:firstColumn="0" w:lastColumn="0" w:noHBand="0" w:noVBand="0"/>
      </w:tblPr>
      <w:tblGrid>
        <w:gridCol w:w="4368"/>
        <w:gridCol w:w="1834"/>
        <w:gridCol w:w="1834"/>
        <w:gridCol w:w="1324"/>
      </w:tblGrid>
      <w:tr w:rsidR="00392CC6" w14:paraId="21930D60"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0A2A6F52" w14:textId="77777777" w:rsidR="00392CC6" w:rsidRDefault="00C76AF3">
            <w:pPr>
              <w:pStyle w:val="Compact"/>
            </w:pPr>
            <w:r>
              <w:t>Revenue Indicator</w:t>
            </w:r>
          </w:p>
        </w:tc>
        <w:tc>
          <w:tcPr>
            <w:tcW w:w="0" w:type="auto"/>
          </w:tcPr>
          <w:p w14:paraId="18FD5C42" w14:textId="77777777" w:rsidR="00392CC6" w:rsidRDefault="00C76AF3">
            <w:pPr>
              <w:pStyle w:val="Compact"/>
              <w:jc w:val="center"/>
            </w:pPr>
            <w:r>
              <w:t>1952</w:t>
            </w:r>
          </w:p>
        </w:tc>
        <w:tc>
          <w:tcPr>
            <w:tcW w:w="0" w:type="auto"/>
          </w:tcPr>
          <w:p w14:paraId="4AC8FDAF" w14:textId="77777777" w:rsidR="00392CC6" w:rsidRDefault="00C76AF3">
            <w:pPr>
              <w:pStyle w:val="Compact"/>
              <w:jc w:val="center"/>
            </w:pPr>
            <w:r>
              <w:t>1953</w:t>
            </w:r>
          </w:p>
        </w:tc>
        <w:tc>
          <w:tcPr>
            <w:tcW w:w="0" w:type="auto"/>
          </w:tcPr>
          <w:p w14:paraId="1BB8F4C6" w14:textId="77777777" w:rsidR="00392CC6" w:rsidRDefault="00C76AF3">
            <w:pPr>
              <w:pStyle w:val="Compact"/>
              <w:jc w:val="center"/>
            </w:pPr>
            <w:r>
              <w:t>Change</w:t>
            </w:r>
          </w:p>
        </w:tc>
      </w:tr>
      <w:tr w:rsidR="00392CC6" w14:paraId="3EC73ED8" w14:textId="77777777">
        <w:tc>
          <w:tcPr>
            <w:tcW w:w="0" w:type="auto"/>
          </w:tcPr>
          <w:p w14:paraId="2174CD41" w14:textId="77777777" w:rsidR="00392CC6" w:rsidRDefault="00C76AF3">
            <w:pPr>
              <w:pStyle w:val="Compact"/>
            </w:pPr>
            <w:r>
              <w:t>Total Revenue</w:t>
            </w:r>
          </w:p>
        </w:tc>
        <w:tc>
          <w:tcPr>
            <w:tcW w:w="0" w:type="auto"/>
          </w:tcPr>
          <w:p w14:paraId="18F304FE" w14:textId="77777777" w:rsidR="00392CC6" w:rsidRDefault="00C76AF3">
            <w:pPr>
              <w:pStyle w:val="Compact"/>
              <w:jc w:val="center"/>
            </w:pPr>
            <w:r>
              <w:t>₡</w:t>
            </w:r>
            <w:r>
              <w:t>135.2 million</w:t>
            </w:r>
          </w:p>
        </w:tc>
        <w:tc>
          <w:tcPr>
            <w:tcW w:w="0" w:type="auto"/>
          </w:tcPr>
          <w:p w14:paraId="3E13379A" w14:textId="77777777" w:rsidR="00392CC6" w:rsidRDefault="00C76AF3">
            <w:pPr>
              <w:pStyle w:val="Compact"/>
              <w:jc w:val="center"/>
            </w:pPr>
            <w:r>
              <w:t>₡</w:t>
            </w:r>
            <w:r>
              <w:t>140.3 million</w:t>
            </w:r>
          </w:p>
        </w:tc>
        <w:tc>
          <w:tcPr>
            <w:tcW w:w="0" w:type="auto"/>
          </w:tcPr>
          <w:p w14:paraId="0248D2AF" w14:textId="77777777" w:rsidR="00392CC6" w:rsidRDefault="00C76AF3">
            <w:pPr>
              <w:pStyle w:val="Compact"/>
              <w:jc w:val="center"/>
            </w:pPr>
            <w:r>
              <w:t>+3.8%</w:t>
            </w:r>
          </w:p>
        </w:tc>
      </w:tr>
      <w:tr w:rsidR="00392CC6" w14:paraId="5E1CD48F" w14:textId="77777777">
        <w:tc>
          <w:tcPr>
            <w:tcW w:w="0" w:type="auto"/>
          </w:tcPr>
          <w:p w14:paraId="7CC2B1F2" w14:textId="77777777" w:rsidR="00392CC6" w:rsidRDefault="00C76AF3">
            <w:pPr>
              <w:pStyle w:val="Compact"/>
            </w:pPr>
            <w:r>
              <w:t>Impuestos (taxes) as % of total</w:t>
            </w:r>
          </w:p>
        </w:tc>
        <w:tc>
          <w:tcPr>
            <w:tcW w:w="0" w:type="auto"/>
          </w:tcPr>
          <w:p w14:paraId="54317AB6" w14:textId="77777777" w:rsidR="00392CC6" w:rsidRDefault="00C76AF3">
            <w:pPr>
              <w:pStyle w:val="Compact"/>
              <w:jc w:val="center"/>
            </w:pPr>
            <w:r>
              <w:t>~86%</w:t>
            </w:r>
          </w:p>
        </w:tc>
        <w:tc>
          <w:tcPr>
            <w:tcW w:w="0" w:type="auto"/>
          </w:tcPr>
          <w:p w14:paraId="093D843E" w14:textId="77777777" w:rsidR="00392CC6" w:rsidRDefault="00C76AF3">
            <w:pPr>
              <w:pStyle w:val="Compact"/>
              <w:jc w:val="center"/>
            </w:pPr>
            <w:r>
              <w:t>86.7%</w:t>
            </w:r>
          </w:p>
        </w:tc>
        <w:tc>
          <w:tcPr>
            <w:tcW w:w="0" w:type="auto"/>
          </w:tcPr>
          <w:p w14:paraId="1806F61F" w14:textId="77777777" w:rsidR="00392CC6" w:rsidRDefault="00392CC6">
            <w:pPr>
              <w:pStyle w:val="Compact"/>
            </w:pPr>
          </w:p>
        </w:tc>
      </w:tr>
      <w:tr w:rsidR="00392CC6" w14:paraId="5495F2BD" w14:textId="77777777">
        <w:tc>
          <w:tcPr>
            <w:tcW w:w="0" w:type="auto"/>
          </w:tcPr>
          <w:p w14:paraId="13134EDD" w14:textId="77777777" w:rsidR="00392CC6" w:rsidRDefault="00C76AF3">
            <w:pPr>
              <w:pStyle w:val="Compact"/>
            </w:pPr>
            <w:r>
              <w:t>Customs revenue (Renta de Aduanas)</w:t>
            </w:r>
          </w:p>
        </w:tc>
        <w:tc>
          <w:tcPr>
            <w:tcW w:w="0" w:type="auto"/>
          </w:tcPr>
          <w:p w14:paraId="66C530C0" w14:textId="77777777" w:rsidR="00392CC6" w:rsidRDefault="00C76AF3">
            <w:pPr>
              <w:pStyle w:val="Compact"/>
              <w:jc w:val="center"/>
            </w:pPr>
            <w:r>
              <w:t>dominant</w:t>
            </w:r>
          </w:p>
        </w:tc>
        <w:tc>
          <w:tcPr>
            <w:tcW w:w="0" w:type="auto"/>
          </w:tcPr>
          <w:p w14:paraId="35EC25FE" w14:textId="77777777" w:rsidR="00392CC6" w:rsidRDefault="00C76AF3">
            <w:pPr>
              <w:pStyle w:val="Compact"/>
              <w:jc w:val="center"/>
            </w:pPr>
            <w:r>
              <w:t>dominant</w:t>
            </w:r>
          </w:p>
        </w:tc>
        <w:tc>
          <w:tcPr>
            <w:tcW w:w="0" w:type="auto"/>
          </w:tcPr>
          <w:p w14:paraId="3F7A5EDC" w14:textId="77777777" w:rsidR="00392CC6" w:rsidRDefault="00C76AF3">
            <w:pPr>
              <w:pStyle w:val="Compact"/>
              <w:jc w:val="center"/>
            </w:pPr>
            <w:r>
              <w:t>see below</w:t>
            </w:r>
          </w:p>
        </w:tc>
      </w:tr>
      <w:tr w:rsidR="00392CC6" w14:paraId="44EC05CD" w14:textId="77777777">
        <w:tc>
          <w:tcPr>
            <w:tcW w:w="0" w:type="auto"/>
          </w:tcPr>
          <w:p w14:paraId="178E2E2E" w14:textId="77777777" w:rsidR="00392CC6" w:rsidRDefault="00C76AF3">
            <w:pPr>
              <w:pStyle w:val="Compact"/>
            </w:pPr>
            <w:r>
              <w:t>Direct taxes as % of total</w:t>
            </w:r>
          </w:p>
        </w:tc>
        <w:tc>
          <w:tcPr>
            <w:tcW w:w="0" w:type="auto"/>
          </w:tcPr>
          <w:p w14:paraId="448E554E" w14:textId="77777777" w:rsidR="00392CC6" w:rsidRDefault="00C76AF3">
            <w:pPr>
              <w:pStyle w:val="Compact"/>
              <w:jc w:val="center"/>
            </w:pPr>
            <w:r>
              <w:t>minor</w:t>
            </w:r>
          </w:p>
        </w:tc>
        <w:tc>
          <w:tcPr>
            <w:tcW w:w="0" w:type="auto"/>
          </w:tcPr>
          <w:p w14:paraId="236B6CD3" w14:textId="77777777" w:rsidR="00392CC6" w:rsidRDefault="00C76AF3">
            <w:pPr>
              <w:pStyle w:val="Compact"/>
              <w:jc w:val="center"/>
            </w:pPr>
            <w:r>
              <w:t>minor</w:t>
            </w:r>
          </w:p>
        </w:tc>
        <w:tc>
          <w:tcPr>
            <w:tcW w:w="0" w:type="auto"/>
          </w:tcPr>
          <w:p w14:paraId="6B3AAC2C" w14:textId="77777777" w:rsidR="00392CC6" w:rsidRDefault="00392CC6">
            <w:pPr>
              <w:pStyle w:val="Compact"/>
            </w:pPr>
          </w:p>
        </w:tc>
      </w:tr>
    </w:tbl>
    <w:p w14:paraId="2DA76004" w14:textId="77777777" w:rsidR="00392CC6" w:rsidRDefault="00C76AF3">
      <w:pPr>
        <w:pStyle w:val="Heading3"/>
      </w:pPr>
      <w:bookmarkStart w:id="5" w:name="expenditure-performance"/>
      <w:bookmarkEnd w:id="4"/>
      <w:r>
        <w:t>1.3 Expenditure Performance</w:t>
      </w:r>
    </w:p>
    <w:tbl>
      <w:tblPr>
        <w:tblStyle w:val="Table"/>
        <w:tblW w:w="5000" w:type="pct"/>
        <w:tblLook w:val="0020" w:firstRow="1" w:lastRow="0" w:firstColumn="0" w:lastColumn="0" w:noHBand="0" w:noVBand="0"/>
      </w:tblPr>
      <w:tblGrid>
        <w:gridCol w:w="4789"/>
        <w:gridCol w:w="2352"/>
        <w:gridCol w:w="2219"/>
      </w:tblGrid>
      <w:tr w:rsidR="00392CC6" w14:paraId="2D4C8EC7"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091B4B6E" w14:textId="77777777" w:rsidR="00392CC6" w:rsidRDefault="00C76AF3">
            <w:pPr>
              <w:pStyle w:val="Compact"/>
            </w:pPr>
            <w:r>
              <w:t>Expenditure Indicator</w:t>
            </w:r>
          </w:p>
        </w:tc>
        <w:tc>
          <w:tcPr>
            <w:tcW w:w="0" w:type="auto"/>
          </w:tcPr>
          <w:p w14:paraId="7729637E" w14:textId="77777777" w:rsidR="00392CC6" w:rsidRDefault="00C76AF3">
            <w:pPr>
              <w:pStyle w:val="Compact"/>
              <w:jc w:val="center"/>
            </w:pPr>
            <w:r>
              <w:t>1952</w:t>
            </w:r>
          </w:p>
        </w:tc>
        <w:tc>
          <w:tcPr>
            <w:tcW w:w="0" w:type="auto"/>
          </w:tcPr>
          <w:p w14:paraId="09DAE33F" w14:textId="77777777" w:rsidR="00392CC6" w:rsidRDefault="00C76AF3">
            <w:pPr>
              <w:pStyle w:val="Compact"/>
              <w:jc w:val="center"/>
            </w:pPr>
            <w:r>
              <w:t>1953</w:t>
            </w:r>
          </w:p>
        </w:tc>
      </w:tr>
      <w:tr w:rsidR="00392CC6" w14:paraId="66F71A80" w14:textId="77777777">
        <w:tc>
          <w:tcPr>
            <w:tcW w:w="0" w:type="auto"/>
          </w:tcPr>
          <w:p w14:paraId="6D0E262E" w14:textId="77777777" w:rsidR="00392CC6" w:rsidRDefault="00C76AF3">
            <w:pPr>
              <w:pStyle w:val="Compact"/>
            </w:pPr>
            <w:r>
              <w:t>Total Expenditure (General Fund)</w:t>
            </w:r>
          </w:p>
        </w:tc>
        <w:tc>
          <w:tcPr>
            <w:tcW w:w="0" w:type="auto"/>
          </w:tcPr>
          <w:p w14:paraId="52DBB443" w14:textId="77777777" w:rsidR="00392CC6" w:rsidRDefault="00C76AF3">
            <w:pPr>
              <w:pStyle w:val="Compact"/>
              <w:jc w:val="center"/>
            </w:pPr>
            <w:r>
              <w:t>₡</w:t>
            </w:r>
            <w:r>
              <w:t>112.1 million</w:t>
            </w:r>
          </w:p>
        </w:tc>
        <w:tc>
          <w:tcPr>
            <w:tcW w:w="0" w:type="auto"/>
          </w:tcPr>
          <w:p w14:paraId="519F4A6D" w14:textId="77777777" w:rsidR="00392CC6" w:rsidRDefault="00C76AF3">
            <w:pPr>
              <w:pStyle w:val="Compact"/>
              <w:jc w:val="center"/>
            </w:pPr>
            <w:r>
              <w:t>₡</w:t>
            </w:r>
            <w:r>
              <w:t>124.1 million</w:t>
            </w:r>
          </w:p>
        </w:tc>
      </w:tr>
      <w:tr w:rsidR="00392CC6" w14:paraId="201366C9" w14:textId="77777777">
        <w:tc>
          <w:tcPr>
            <w:tcW w:w="0" w:type="auto"/>
          </w:tcPr>
          <w:p w14:paraId="30C097B6" w14:textId="77777777" w:rsidR="00392CC6" w:rsidRDefault="00C76AF3">
            <w:pPr>
              <w:pStyle w:val="Compact"/>
            </w:pPr>
            <w:r>
              <w:t>Growth over prior year</w:t>
            </w:r>
          </w:p>
        </w:tc>
        <w:tc>
          <w:tcPr>
            <w:tcW w:w="0" w:type="auto"/>
          </w:tcPr>
          <w:p w14:paraId="6788FA94" w14:textId="77777777" w:rsidR="00392CC6" w:rsidRDefault="00C76AF3">
            <w:pPr>
              <w:pStyle w:val="Compact"/>
              <w:jc w:val="center"/>
            </w:pPr>
            <w:r>
              <w:t>+8.1%*</w:t>
            </w:r>
          </w:p>
        </w:tc>
        <w:tc>
          <w:tcPr>
            <w:tcW w:w="0" w:type="auto"/>
          </w:tcPr>
          <w:p w14:paraId="0D01FB53" w14:textId="77777777" w:rsidR="00392CC6" w:rsidRDefault="00C76AF3">
            <w:pPr>
              <w:pStyle w:val="Compact"/>
              <w:jc w:val="center"/>
            </w:pPr>
            <w:r>
              <w:t>+10.7%</w:t>
            </w:r>
          </w:p>
        </w:tc>
      </w:tr>
      <w:tr w:rsidR="00392CC6" w14:paraId="49FBD979" w14:textId="77777777">
        <w:tc>
          <w:tcPr>
            <w:tcW w:w="0" w:type="auto"/>
          </w:tcPr>
          <w:p w14:paraId="235AF960" w14:textId="77777777" w:rsidR="00392CC6" w:rsidRDefault="00C76AF3">
            <w:pPr>
              <w:pStyle w:val="Compact"/>
            </w:pPr>
            <w:r>
              <w:t>Authorized Allocations</w:t>
            </w:r>
          </w:p>
        </w:tc>
        <w:tc>
          <w:tcPr>
            <w:tcW w:w="0" w:type="auto"/>
          </w:tcPr>
          <w:p w14:paraId="741D8EDF" w14:textId="77777777" w:rsidR="00392CC6" w:rsidRDefault="00C76AF3">
            <w:pPr>
              <w:pStyle w:val="Compact"/>
              <w:jc w:val="center"/>
            </w:pPr>
            <w:r>
              <w:t>₡</w:t>
            </w:r>
            <w:r>
              <w:t>132.0 million*</w:t>
            </w:r>
          </w:p>
        </w:tc>
        <w:tc>
          <w:tcPr>
            <w:tcW w:w="0" w:type="auto"/>
          </w:tcPr>
          <w:p w14:paraId="2CFEE74A" w14:textId="77777777" w:rsidR="00392CC6" w:rsidRDefault="00C76AF3">
            <w:pPr>
              <w:pStyle w:val="Compact"/>
              <w:jc w:val="center"/>
            </w:pPr>
            <w:r>
              <w:t>₡</w:t>
            </w:r>
            <w:r>
              <w:t>144.2 million</w:t>
            </w:r>
          </w:p>
        </w:tc>
      </w:tr>
      <w:tr w:rsidR="00392CC6" w14:paraId="4120E2D0" w14:textId="77777777">
        <w:tc>
          <w:tcPr>
            <w:tcW w:w="0" w:type="auto"/>
          </w:tcPr>
          <w:p w14:paraId="5DD2DDC2" w14:textId="77777777" w:rsidR="00392CC6" w:rsidRDefault="00C76AF3">
            <w:pPr>
              <w:pStyle w:val="Compact"/>
            </w:pPr>
            <w:r>
              <w:t>Utilization Rate</w:t>
            </w:r>
          </w:p>
        </w:tc>
        <w:tc>
          <w:tcPr>
            <w:tcW w:w="0" w:type="auto"/>
          </w:tcPr>
          <w:p w14:paraId="7D923D68" w14:textId="77777777" w:rsidR="00392CC6" w:rsidRDefault="00C76AF3">
            <w:pPr>
              <w:pStyle w:val="Compact"/>
              <w:jc w:val="center"/>
            </w:pPr>
            <w:r>
              <w:t>~85%*</w:t>
            </w:r>
          </w:p>
        </w:tc>
        <w:tc>
          <w:tcPr>
            <w:tcW w:w="0" w:type="auto"/>
          </w:tcPr>
          <w:p w14:paraId="6E4AA821" w14:textId="77777777" w:rsidR="00392CC6" w:rsidRDefault="00C76AF3">
            <w:pPr>
              <w:pStyle w:val="Compact"/>
              <w:jc w:val="center"/>
            </w:pPr>
            <w:r>
              <w:t>86.0%</w:t>
            </w:r>
          </w:p>
        </w:tc>
      </w:tr>
    </w:tbl>
    <w:p w14:paraId="25AA23E6" w14:textId="77777777" w:rsidR="00392CC6" w:rsidRDefault="00C76AF3">
      <w:pPr>
        <w:pStyle w:val="BodyText"/>
      </w:pPr>
      <w:r>
        <w:t>*1952 comparisons estimated from available data.</w:t>
      </w:r>
    </w:p>
    <w:p w14:paraId="0B2FFC55" w14:textId="77777777" w:rsidR="00392CC6" w:rsidRDefault="00C76AF3">
      <w:r>
        <w:pict w14:anchorId="23557945">
          <v:rect id="_x0000_i1027" style="width:0;height:1.5pt" o:hralign="center" o:hrstd="t" o:hr="t"/>
        </w:pict>
      </w:r>
    </w:p>
    <w:p w14:paraId="4AF0112F" w14:textId="77777777" w:rsidR="00392CC6" w:rsidRDefault="00C76AF3">
      <w:pPr>
        <w:pStyle w:val="Heading2"/>
      </w:pPr>
      <w:bookmarkStart w:id="6" w:name="structural-revenue-analysis"/>
      <w:bookmarkEnd w:id="2"/>
      <w:bookmarkEnd w:id="5"/>
      <w:r>
        <w:t>2. Structural Revenue Analysis</w:t>
      </w:r>
    </w:p>
    <w:p w14:paraId="76D01CC6" w14:textId="77777777" w:rsidR="00392CC6" w:rsidRDefault="00C76AF3">
      <w:pPr>
        <w:pStyle w:val="Heading3"/>
      </w:pPr>
      <w:bookmarkStart w:id="7" w:name="revenue-concentration-index"/>
      <w:r>
        <w:t>2.1 Revenue Concentration Index</w:t>
      </w:r>
    </w:p>
    <w:p w14:paraId="28ECDCEE" w14:textId="77777777" w:rsidR="00392CC6" w:rsidRDefault="00C76AF3">
      <w:pPr>
        <w:pStyle w:val="FirstParagraph"/>
      </w:pPr>
      <w:r>
        <w:t>A critical vulnerability indicator is the degree to which revenue depends on a narrow base. The following decomposition quantifies this risk:</w:t>
      </w:r>
    </w:p>
    <w:tbl>
      <w:tblPr>
        <w:tblStyle w:val="Table"/>
        <w:tblW w:w="5000" w:type="pct"/>
        <w:tblLook w:val="0020" w:firstRow="1" w:lastRow="0" w:firstColumn="0" w:lastColumn="0" w:noHBand="0" w:noVBand="0"/>
      </w:tblPr>
      <w:tblGrid>
        <w:gridCol w:w="4131"/>
        <w:gridCol w:w="1594"/>
        <w:gridCol w:w="3635"/>
      </w:tblGrid>
      <w:tr w:rsidR="00392CC6" w14:paraId="45689846"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21E459D3" w14:textId="77777777" w:rsidR="00392CC6" w:rsidRDefault="00C76AF3">
            <w:pPr>
              <w:pStyle w:val="Compact"/>
            </w:pPr>
            <w:r>
              <w:t>Revenue Source</w:t>
            </w:r>
          </w:p>
        </w:tc>
        <w:tc>
          <w:tcPr>
            <w:tcW w:w="0" w:type="auto"/>
          </w:tcPr>
          <w:p w14:paraId="5056B271" w14:textId="77777777" w:rsidR="00392CC6" w:rsidRDefault="00C76AF3">
            <w:pPr>
              <w:pStyle w:val="Compact"/>
              <w:jc w:val="center"/>
            </w:pPr>
            <w:r>
              <w:t>1953 Share (%)</w:t>
            </w:r>
          </w:p>
        </w:tc>
        <w:tc>
          <w:tcPr>
            <w:tcW w:w="0" w:type="auto"/>
          </w:tcPr>
          <w:p w14:paraId="29087B22" w14:textId="77777777" w:rsidR="00392CC6" w:rsidRDefault="00C76AF3">
            <w:pPr>
              <w:pStyle w:val="Compact"/>
            </w:pPr>
            <w:r>
              <w:t>Risk Assessment</w:t>
            </w:r>
          </w:p>
        </w:tc>
      </w:tr>
      <w:tr w:rsidR="00392CC6" w14:paraId="257681CB" w14:textId="77777777">
        <w:tc>
          <w:tcPr>
            <w:tcW w:w="0" w:type="auto"/>
          </w:tcPr>
          <w:p w14:paraId="58A695DC" w14:textId="77777777" w:rsidR="00392CC6" w:rsidRDefault="00C76AF3">
            <w:pPr>
              <w:pStyle w:val="Compact"/>
            </w:pPr>
            <w:r>
              <w:t>Import duties</w:t>
            </w:r>
          </w:p>
        </w:tc>
        <w:tc>
          <w:tcPr>
            <w:tcW w:w="0" w:type="auto"/>
          </w:tcPr>
          <w:p w14:paraId="09D0105C" w14:textId="77777777" w:rsidR="00392CC6" w:rsidRDefault="00C76AF3">
            <w:pPr>
              <w:pStyle w:val="Compact"/>
              <w:jc w:val="center"/>
            </w:pPr>
            <w:r>
              <w:t>~55–60%</w:t>
            </w:r>
          </w:p>
        </w:tc>
        <w:tc>
          <w:tcPr>
            <w:tcW w:w="0" w:type="auto"/>
          </w:tcPr>
          <w:p w14:paraId="0E10616E" w14:textId="77777777" w:rsidR="00392CC6" w:rsidRDefault="00C76AF3">
            <w:pPr>
              <w:pStyle w:val="Compact"/>
            </w:pPr>
            <w:r>
              <w:t>HIGH: procyclical, trade-dependent</w:t>
            </w:r>
          </w:p>
        </w:tc>
      </w:tr>
      <w:tr w:rsidR="00392CC6" w14:paraId="02B3AA4E" w14:textId="77777777">
        <w:tc>
          <w:tcPr>
            <w:tcW w:w="0" w:type="auto"/>
          </w:tcPr>
          <w:p w14:paraId="4E5E1180" w14:textId="77777777" w:rsidR="00392CC6" w:rsidRDefault="00C76AF3">
            <w:pPr>
              <w:pStyle w:val="Compact"/>
            </w:pPr>
            <w:r>
              <w:t>Export duties (coffee-linked)</w:t>
            </w:r>
          </w:p>
        </w:tc>
        <w:tc>
          <w:tcPr>
            <w:tcW w:w="0" w:type="auto"/>
          </w:tcPr>
          <w:p w14:paraId="09D243A7" w14:textId="77777777" w:rsidR="00392CC6" w:rsidRDefault="00C76AF3">
            <w:pPr>
              <w:pStyle w:val="Compact"/>
              <w:jc w:val="center"/>
            </w:pPr>
            <w:r>
              <w:t>~22–25%</w:t>
            </w:r>
          </w:p>
        </w:tc>
        <w:tc>
          <w:tcPr>
            <w:tcW w:w="0" w:type="auto"/>
          </w:tcPr>
          <w:p w14:paraId="627A2393" w14:textId="77777777" w:rsidR="00392CC6" w:rsidRDefault="00C76AF3">
            <w:pPr>
              <w:pStyle w:val="Compact"/>
            </w:pPr>
            <w:r>
              <w:t>VERY HIGH: single-commodity exposure</w:t>
            </w:r>
          </w:p>
        </w:tc>
      </w:tr>
      <w:tr w:rsidR="00392CC6" w14:paraId="4ED1C38A" w14:textId="77777777">
        <w:tc>
          <w:tcPr>
            <w:tcW w:w="0" w:type="auto"/>
          </w:tcPr>
          <w:p w14:paraId="41991507" w14:textId="77777777" w:rsidR="00392CC6" w:rsidRDefault="00C76AF3">
            <w:pPr>
              <w:pStyle w:val="Compact"/>
            </w:pPr>
            <w:r>
              <w:t>Direct taxes</w:t>
            </w:r>
          </w:p>
        </w:tc>
        <w:tc>
          <w:tcPr>
            <w:tcW w:w="0" w:type="auto"/>
          </w:tcPr>
          <w:p w14:paraId="28C88B35" w14:textId="77777777" w:rsidR="00392CC6" w:rsidRDefault="00C76AF3">
            <w:pPr>
              <w:pStyle w:val="Compact"/>
              <w:jc w:val="center"/>
            </w:pPr>
            <w:r>
              <w:t>~5–7%</w:t>
            </w:r>
          </w:p>
        </w:tc>
        <w:tc>
          <w:tcPr>
            <w:tcW w:w="0" w:type="auto"/>
          </w:tcPr>
          <w:p w14:paraId="30913CAF" w14:textId="77777777" w:rsidR="00392CC6" w:rsidRDefault="00C76AF3">
            <w:pPr>
              <w:pStyle w:val="Compact"/>
            </w:pPr>
            <w:r>
              <w:t>LOW: small but stable</w:t>
            </w:r>
          </w:p>
        </w:tc>
      </w:tr>
      <w:tr w:rsidR="00392CC6" w14:paraId="5B1664F8" w14:textId="77777777">
        <w:tc>
          <w:tcPr>
            <w:tcW w:w="0" w:type="auto"/>
          </w:tcPr>
          <w:p w14:paraId="6047674A" w14:textId="77777777" w:rsidR="00392CC6" w:rsidRDefault="00C76AF3">
            <w:pPr>
              <w:pStyle w:val="Compact"/>
            </w:pPr>
            <w:r>
              <w:t>Fees, licenses, services</w:t>
            </w:r>
          </w:p>
        </w:tc>
        <w:tc>
          <w:tcPr>
            <w:tcW w:w="0" w:type="auto"/>
          </w:tcPr>
          <w:p w14:paraId="2E5259C6" w14:textId="77777777" w:rsidR="00392CC6" w:rsidRDefault="00C76AF3">
            <w:pPr>
              <w:pStyle w:val="Compact"/>
              <w:jc w:val="center"/>
            </w:pPr>
            <w:r>
              <w:t>~7–8%</w:t>
            </w:r>
          </w:p>
        </w:tc>
        <w:tc>
          <w:tcPr>
            <w:tcW w:w="0" w:type="auto"/>
          </w:tcPr>
          <w:p w14:paraId="284ADD3E" w14:textId="77777777" w:rsidR="00392CC6" w:rsidRDefault="00C76AF3">
            <w:pPr>
              <w:pStyle w:val="Compact"/>
            </w:pPr>
            <w:r>
              <w:t>MODERATE: somewhat stable</w:t>
            </w:r>
          </w:p>
        </w:tc>
      </w:tr>
      <w:tr w:rsidR="00392CC6" w14:paraId="2F65C94C" w14:textId="77777777">
        <w:tc>
          <w:tcPr>
            <w:tcW w:w="0" w:type="auto"/>
          </w:tcPr>
          <w:p w14:paraId="052C68F2" w14:textId="77777777" w:rsidR="00392CC6" w:rsidRDefault="00C76AF3">
            <w:pPr>
              <w:pStyle w:val="Compact"/>
            </w:pPr>
            <w:r>
              <w:t>Other (state enterprises, misc.)</w:t>
            </w:r>
          </w:p>
        </w:tc>
        <w:tc>
          <w:tcPr>
            <w:tcW w:w="0" w:type="auto"/>
          </w:tcPr>
          <w:p w14:paraId="13C2C024" w14:textId="77777777" w:rsidR="00392CC6" w:rsidRDefault="00C76AF3">
            <w:pPr>
              <w:pStyle w:val="Compact"/>
              <w:jc w:val="center"/>
            </w:pPr>
            <w:r>
              <w:t>~5–6%</w:t>
            </w:r>
          </w:p>
        </w:tc>
        <w:tc>
          <w:tcPr>
            <w:tcW w:w="0" w:type="auto"/>
          </w:tcPr>
          <w:p w14:paraId="3151EFB5" w14:textId="77777777" w:rsidR="00392CC6" w:rsidRDefault="00C76AF3">
            <w:pPr>
              <w:pStyle w:val="Compact"/>
            </w:pPr>
            <w:r>
              <w:t>MODERATE</w:t>
            </w:r>
          </w:p>
        </w:tc>
      </w:tr>
      <w:tr w:rsidR="00392CC6" w14:paraId="431F5A6D" w14:textId="77777777">
        <w:tc>
          <w:tcPr>
            <w:tcW w:w="0" w:type="auto"/>
          </w:tcPr>
          <w:p w14:paraId="6EE83A94" w14:textId="77777777" w:rsidR="00392CC6" w:rsidRDefault="00C76AF3">
            <w:pPr>
              <w:pStyle w:val="Compact"/>
            </w:pPr>
            <w:r>
              <w:rPr>
                <w:b/>
                <w:bCs/>
              </w:rPr>
              <w:t>Trade-dependent share (imports + exports)</w:t>
            </w:r>
          </w:p>
        </w:tc>
        <w:tc>
          <w:tcPr>
            <w:tcW w:w="0" w:type="auto"/>
          </w:tcPr>
          <w:p w14:paraId="5E1C3507" w14:textId="77777777" w:rsidR="00392CC6" w:rsidRDefault="00C76AF3">
            <w:pPr>
              <w:pStyle w:val="Compact"/>
              <w:jc w:val="center"/>
            </w:pPr>
            <w:r>
              <w:rPr>
                <w:b/>
                <w:bCs/>
              </w:rPr>
              <w:t>~80%</w:t>
            </w:r>
          </w:p>
        </w:tc>
        <w:tc>
          <w:tcPr>
            <w:tcW w:w="0" w:type="auto"/>
          </w:tcPr>
          <w:p w14:paraId="7B2B31B8" w14:textId="77777777" w:rsidR="00392CC6" w:rsidRDefault="00C76AF3">
            <w:pPr>
              <w:pStyle w:val="Compact"/>
            </w:pPr>
            <w:r>
              <w:rPr>
                <w:b/>
                <w:bCs/>
              </w:rPr>
              <w:t>CRITICAL</w:t>
            </w:r>
          </w:p>
        </w:tc>
      </w:tr>
    </w:tbl>
    <w:p w14:paraId="24DCE7BC" w14:textId="77777777" w:rsidR="00392CC6" w:rsidRDefault="00C76AF3">
      <w:pPr>
        <w:pStyle w:val="BodyText"/>
      </w:pPr>
      <w:r>
        <w:rPr>
          <w:b/>
          <w:bCs/>
        </w:rPr>
        <w:t>Assessment:</w:t>
      </w:r>
      <w:r>
        <w:t xml:space="preserve"> With approximately 80% of revenue dependent on trade flows — and trade flows overwhelmingly driven by a single export commodity (coffee) — El Salvador’s revenue base exhibited an extreme concentration risk. A 20% decline in coffee prices could, through its effects on both export duties and the import purchasing power it generated, reduce total government revenue by 12–16%.</w:t>
      </w:r>
    </w:p>
    <w:p w14:paraId="49B2CC7F" w14:textId="77777777" w:rsidR="00392CC6" w:rsidRDefault="00C76AF3">
      <w:pPr>
        <w:pStyle w:val="BodyText"/>
      </w:pPr>
      <w:r>
        <w:t>The 1952 experience confirmed this vulnerability: customs revenue declined after the end of the 1950–51 coffee boom, despite continued growth in other revenue categories.</w:t>
      </w:r>
    </w:p>
    <w:p w14:paraId="6B5BFCA0" w14:textId="77777777" w:rsidR="00392CC6" w:rsidRDefault="00C76AF3">
      <w:pPr>
        <w:pStyle w:val="Heading3"/>
      </w:pPr>
      <w:bookmarkStart w:id="8" w:name="revenue-buoyancy-preliminary"/>
      <w:bookmarkEnd w:id="7"/>
      <w:r>
        <w:t>2.2 Revenue Buoyancy (Preliminary)</w:t>
      </w:r>
    </w:p>
    <w:p w14:paraId="42F773D2" w14:textId="77777777" w:rsidR="00392CC6" w:rsidRDefault="00C76AF3">
      <w:pPr>
        <w:pStyle w:val="FirstParagraph"/>
      </w:pPr>
      <w:r>
        <w:t>Revenue buoyancy measures the responsiveness of total revenue to economic growth. Using the five-year revenue series from the 1953 Memoria (in the absence of GDP data for this period):</w:t>
      </w:r>
    </w:p>
    <w:tbl>
      <w:tblPr>
        <w:tblStyle w:val="Table"/>
        <w:tblW w:w="0" w:type="auto"/>
        <w:tblLook w:val="0020" w:firstRow="1" w:lastRow="0" w:firstColumn="0" w:lastColumn="0" w:noHBand="0" w:noVBand="0"/>
      </w:tblPr>
      <w:tblGrid>
        <w:gridCol w:w="1400"/>
        <w:gridCol w:w="1930"/>
        <w:gridCol w:w="4664"/>
      </w:tblGrid>
      <w:tr w:rsidR="00392CC6" w14:paraId="52C4F922"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2A231622" w14:textId="77777777" w:rsidR="00392CC6" w:rsidRDefault="00C76AF3">
            <w:pPr>
              <w:pStyle w:val="Compact"/>
            </w:pPr>
            <w:r>
              <w:t>Period</w:t>
            </w:r>
          </w:p>
        </w:tc>
        <w:tc>
          <w:tcPr>
            <w:tcW w:w="0" w:type="auto"/>
          </w:tcPr>
          <w:p w14:paraId="1F14DDD6" w14:textId="77777777" w:rsidR="00392CC6" w:rsidRDefault="00C76AF3">
            <w:pPr>
              <w:pStyle w:val="Compact"/>
              <w:jc w:val="center"/>
            </w:pPr>
            <w:r>
              <w:t>Revenue Growth</w:t>
            </w:r>
          </w:p>
        </w:tc>
        <w:tc>
          <w:tcPr>
            <w:tcW w:w="0" w:type="auto"/>
          </w:tcPr>
          <w:p w14:paraId="7E8F1927" w14:textId="77777777" w:rsidR="00392CC6" w:rsidRDefault="00C76AF3">
            <w:pPr>
              <w:pStyle w:val="Compact"/>
            </w:pPr>
            <w:r>
              <w:t>Implied Buoyancy Assessment</w:t>
            </w:r>
          </w:p>
        </w:tc>
      </w:tr>
      <w:tr w:rsidR="00392CC6" w14:paraId="429F6730" w14:textId="77777777">
        <w:tc>
          <w:tcPr>
            <w:tcW w:w="0" w:type="auto"/>
          </w:tcPr>
          <w:p w14:paraId="699672E1" w14:textId="77777777" w:rsidR="00392CC6" w:rsidRDefault="00C76AF3">
            <w:pPr>
              <w:pStyle w:val="Compact"/>
            </w:pPr>
            <w:r>
              <w:t>1949–1950</w:t>
            </w:r>
          </w:p>
        </w:tc>
        <w:tc>
          <w:tcPr>
            <w:tcW w:w="0" w:type="auto"/>
          </w:tcPr>
          <w:p w14:paraId="4BC2004C" w14:textId="77777777" w:rsidR="00392CC6" w:rsidRDefault="00C76AF3">
            <w:pPr>
              <w:pStyle w:val="Compact"/>
              <w:jc w:val="center"/>
            </w:pPr>
            <w:r>
              <w:t>+21%</w:t>
            </w:r>
          </w:p>
        </w:tc>
        <w:tc>
          <w:tcPr>
            <w:tcW w:w="0" w:type="auto"/>
          </w:tcPr>
          <w:p w14:paraId="6C92464A" w14:textId="77777777" w:rsidR="00392CC6" w:rsidRDefault="00C76AF3">
            <w:pPr>
              <w:pStyle w:val="Compact"/>
            </w:pPr>
            <w:r>
              <w:t>Boom phase: Korean War commodity surge</w:t>
            </w:r>
          </w:p>
        </w:tc>
      </w:tr>
      <w:tr w:rsidR="00392CC6" w14:paraId="1C31E32C" w14:textId="77777777">
        <w:tc>
          <w:tcPr>
            <w:tcW w:w="0" w:type="auto"/>
          </w:tcPr>
          <w:p w14:paraId="78468243" w14:textId="77777777" w:rsidR="00392CC6" w:rsidRDefault="00C76AF3">
            <w:pPr>
              <w:pStyle w:val="Compact"/>
            </w:pPr>
            <w:r>
              <w:t>1950–1951</w:t>
            </w:r>
          </w:p>
        </w:tc>
        <w:tc>
          <w:tcPr>
            <w:tcW w:w="0" w:type="auto"/>
          </w:tcPr>
          <w:p w14:paraId="44003EC6" w14:textId="77777777" w:rsidR="00392CC6" w:rsidRDefault="00C76AF3">
            <w:pPr>
              <w:pStyle w:val="Compact"/>
              <w:jc w:val="center"/>
            </w:pPr>
            <w:r>
              <w:t>+41%</w:t>
            </w:r>
          </w:p>
        </w:tc>
        <w:tc>
          <w:tcPr>
            <w:tcW w:w="0" w:type="auto"/>
          </w:tcPr>
          <w:p w14:paraId="58750446" w14:textId="77777777" w:rsidR="00392CC6" w:rsidRDefault="00C76AF3">
            <w:pPr>
              <w:pStyle w:val="Compact"/>
            </w:pPr>
            <w:r>
              <w:t>Peak coffee boom</w:t>
            </w:r>
          </w:p>
        </w:tc>
      </w:tr>
      <w:tr w:rsidR="00392CC6" w14:paraId="735063BD" w14:textId="77777777">
        <w:tc>
          <w:tcPr>
            <w:tcW w:w="0" w:type="auto"/>
          </w:tcPr>
          <w:p w14:paraId="40E4DE7C" w14:textId="77777777" w:rsidR="00392CC6" w:rsidRDefault="00C76AF3">
            <w:pPr>
              <w:pStyle w:val="Compact"/>
            </w:pPr>
            <w:r>
              <w:t>1951–1952</w:t>
            </w:r>
          </w:p>
        </w:tc>
        <w:tc>
          <w:tcPr>
            <w:tcW w:w="0" w:type="auto"/>
          </w:tcPr>
          <w:p w14:paraId="27380A2C" w14:textId="77777777" w:rsidR="00392CC6" w:rsidRDefault="00C76AF3">
            <w:pPr>
              <w:pStyle w:val="Compact"/>
              <w:jc w:val="center"/>
            </w:pPr>
            <w:r>
              <w:t>+8%</w:t>
            </w:r>
          </w:p>
        </w:tc>
        <w:tc>
          <w:tcPr>
            <w:tcW w:w="0" w:type="auto"/>
          </w:tcPr>
          <w:p w14:paraId="2BEB0CA2" w14:textId="77777777" w:rsidR="00392CC6" w:rsidRDefault="00C76AF3">
            <w:pPr>
              <w:pStyle w:val="Compact"/>
            </w:pPr>
            <w:r>
              <w:t>Correction: post-boom normalization</w:t>
            </w:r>
          </w:p>
        </w:tc>
      </w:tr>
      <w:tr w:rsidR="00392CC6" w14:paraId="7CE67616" w14:textId="77777777">
        <w:tc>
          <w:tcPr>
            <w:tcW w:w="0" w:type="auto"/>
          </w:tcPr>
          <w:p w14:paraId="6E0F2F09" w14:textId="77777777" w:rsidR="00392CC6" w:rsidRDefault="00C76AF3">
            <w:pPr>
              <w:pStyle w:val="Compact"/>
            </w:pPr>
            <w:r>
              <w:t>1952–1953</w:t>
            </w:r>
          </w:p>
        </w:tc>
        <w:tc>
          <w:tcPr>
            <w:tcW w:w="0" w:type="auto"/>
          </w:tcPr>
          <w:p w14:paraId="578C6354" w14:textId="77777777" w:rsidR="00392CC6" w:rsidRDefault="00C76AF3">
            <w:pPr>
              <w:pStyle w:val="Compact"/>
              <w:jc w:val="center"/>
            </w:pPr>
            <w:r>
              <w:t>+10%</w:t>
            </w:r>
          </w:p>
        </w:tc>
        <w:tc>
          <w:tcPr>
            <w:tcW w:w="0" w:type="auto"/>
          </w:tcPr>
          <w:p w14:paraId="3FCB7F7B" w14:textId="77777777" w:rsidR="00392CC6" w:rsidRDefault="00C76AF3">
            <w:pPr>
              <w:pStyle w:val="Compact"/>
            </w:pPr>
            <w:r>
              <w:t>Moderate recovery</w:t>
            </w:r>
          </w:p>
        </w:tc>
      </w:tr>
    </w:tbl>
    <w:p w14:paraId="304D131E" w14:textId="77777777" w:rsidR="00392CC6" w:rsidRDefault="00C76AF3">
      <w:pPr>
        <w:pStyle w:val="BodyText"/>
      </w:pPr>
      <w:r>
        <w:rPr>
          <w:b/>
          <w:bCs/>
        </w:rPr>
        <w:t>[DATA GAP: GDP series for 1952–1953 is needed to compute formal buoyancy coefficients. The BCR’s historical national accounts for 1950–1964 should provide nominal GDP in colones corrientes. Pending receipt of this data.]</w:t>
      </w:r>
    </w:p>
    <w:p w14:paraId="17E339BF" w14:textId="77777777" w:rsidR="00392CC6" w:rsidRDefault="00C76AF3">
      <w:pPr>
        <w:pStyle w:val="BodyText"/>
      </w:pPr>
      <w:r>
        <w:t xml:space="preserve">The revenue pattern is consistent with a </w:t>
      </w:r>
      <w:r>
        <w:rPr>
          <w:b/>
          <w:bCs/>
        </w:rPr>
        <w:t>highly buoyant but volatile</w:t>
      </w:r>
      <w:r>
        <w:t xml:space="preserve"> fiscal system: revenues surge during commodity booms (1950–51) but decelerate sharply when external conditions normalize (1952). This boom-bust revenue pattern is a hallmark of trade-dependent fiscal systems and represents the single most important structural vulnerability.</w:t>
      </w:r>
    </w:p>
    <w:p w14:paraId="032B11AF" w14:textId="77777777" w:rsidR="00392CC6" w:rsidRDefault="00C76AF3">
      <w:pPr>
        <w:pStyle w:val="Heading3"/>
      </w:pPr>
      <w:bookmarkStart w:id="9" w:name="tax-effort-indicators"/>
      <w:bookmarkEnd w:id="8"/>
      <w:r>
        <w:t>2.3 Tax Effort Indicators</w:t>
      </w:r>
    </w:p>
    <w:tbl>
      <w:tblPr>
        <w:tblStyle w:val="Table"/>
        <w:tblW w:w="5000" w:type="pct"/>
        <w:tblLook w:val="0020" w:firstRow="1" w:lastRow="0" w:firstColumn="0" w:lastColumn="0" w:noHBand="0" w:noVBand="0"/>
      </w:tblPr>
      <w:tblGrid>
        <w:gridCol w:w="3963"/>
        <w:gridCol w:w="1879"/>
        <w:gridCol w:w="1879"/>
        <w:gridCol w:w="1639"/>
      </w:tblGrid>
      <w:tr w:rsidR="00392CC6" w14:paraId="25F3C1C8"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26520A04" w14:textId="77777777" w:rsidR="00392CC6" w:rsidRDefault="00C76AF3">
            <w:pPr>
              <w:pStyle w:val="Compact"/>
            </w:pPr>
            <w:r>
              <w:t>Indicator</w:t>
            </w:r>
          </w:p>
        </w:tc>
        <w:tc>
          <w:tcPr>
            <w:tcW w:w="0" w:type="auto"/>
          </w:tcPr>
          <w:p w14:paraId="34571213" w14:textId="77777777" w:rsidR="00392CC6" w:rsidRDefault="00C76AF3">
            <w:pPr>
              <w:pStyle w:val="Compact"/>
              <w:jc w:val="center"/>
            </w:pPr>
            <w:r>
              <w:t>1952</w:t>
            </w:r>
          </w:p>
        </w:tc>
        <w:tc>
          <w:tcPr>
            <w:tcW w:w="0" w:type="auto"/>
          </w:tcPr>
          <w:p w14:paraId="0B5D2C7C" w14:textId="77777777" w:rsidR="00392CC6" w:rsidRDefault="00C76AF3">
            <w:pPr>
              <w:pStyle w:val="Compact"/>
              <w:jc w:val="center"/>
            </w:pPr>
            <w:r>
              <w:t>1953</w:t>
            </w:r>
          </w:p>
        </w:tc>
        <w:tc>
          <w:tcPr>
            <w:tcW w:w="0" w:type="auto"/>
          </w:tcPr>
          <w:p w14:paraId="108052C3" w14:textId="77777777" w:rsidR="00392CC6" w:rsidRDefault="00C76AF3">
            <w:pPr>
              <w:pStyle w:val="Compact"/>
              <w:jc w:val="center"/>
            </w:pPr>
            <w:r>
              <w:t>Benchmark*</w:t>
            </w:r>
          </w:p>
        </w:tc>
      </w:tr>
      <w:tr w:rsidR="00392CC6" w14:paraId="3B0B36AE" w14:textId="77777777">
        <w:tc>
          <w:tcPr>
            <w:tcW w:w="0" w:type="auto"/>
          </w:tcPr>
          <w:p w14:paraId="135DDF50" w14:textId="77777777" w:rsidR="00392CC6" w:rsidRDefault="00C76AF3">
            <w:pPr>
              <w:pStyle w:val="Compact"/>
            </w:pPr>
            <w:r>
              <w:t>Total Revenue / GDP</w:t>
            </w:r>
          </w:p>
        </w:tc>
        <w:tc>
          <w:tcPr>
            <w:tcW w:w="0" w:type="auto"/>
          </w:tcPr>
          <w:p w14:paraId="134CC8BF" w14:textId="77777777" w:rsidR="00392CC6" w:rsidRDefault="00C76AF3">
            <w:pPr>
              <w:pStyle w:val="Compact"/>
              <w:jc w:val="center"/>
            </w:pPr>
            <w:r>
              <w:t>[pending GDP]</w:t>
            </w:r>
          </w:p>
        </w:tc>
        <w:tc>
          <w:tcPr>
            <w:tcW w:w="0" w:type="auto"/>
          </w:tcPr>
          <w:p w14:paraId="03BE0236" w14:textId="77777777" w:rsidR="00392CC6" w:rsidRDefault="00C76AF3">
            <w:pPr>
              <w:pStyle w:val="Compact"/>
              <w:jc w:val="center"/>
            </w:pPr>
            <w:r>
              <w:t>[pending GDP]</w:t>
            </w:r>
          </w:p>
        </w:tc>
        <w:tc>
          <w:tcPr>
            <w:tcW w:w="0" w:type="auto"/>
          </w:tcPr>
          <w:p w14:paraId="2B677549" w14:textId="77777777" w:rsidR="00392CC6" w:rsidRDefault="00C76AF3">
            <w:pPr>
              <w:pStyle w:val="Compact"/>
              <w:jc w:val="center"/>
            </w:pPr>
            <w:r>
              <w:t>10–15%</w:t>
            </w:r>
          </w:p>
        </w:tc>
      </w:tr>
      <w:tr w:rsidR="00392CC6" w14:paraId="587026FF" w14:textId="77777777">
        <w:tc>
          <w:tcPr>
            <w:tcW w:w="0" w:type="auto"/>
          </w:tcPr>
          <w:p w14:paraId="383D7DCA" w14:textId="77777777" w:rsidR="00392CC6" w:rsidRDefault="00C76AF3">
            <w:pPr>
              <w:pStyle w:val="Compact"/>
            </w:pPr>
            <w:r>
              <w:t>Tax Revenue / GDP</w:t>
            </w:r>
          </w:p>
        </w:tc>
        <w:tc>
          <w:tcPr>
            <w:tcW w:w="0" w:type="auto"/>
          </w:tcPr>
          <w:p w14:paraId="2A0F7A49" w14:textId="77777777" w:rsidR="00392CC6" w:rsidRDefault="00C76AF3">
            <w:pPr>
              <w:pStyle w:val="Compact"/>
              <w:jc w:val="center"/>
            </w:pPr>
            <w:r>
              <w:t>[pending GDP]</w:t>
            </w:r>
          </w:p>
        </w:tc>
        <w:tc>
          <w:tcPr>
            <w:tcW w:w="0" w:type="auto"/>
          </w:tcPr>
          <w:p w14:paraId="2ED31C6F" w14:textId="77777777" w:rsidR="00392CC6" w:rsidRDefault="00C76AF3">
            <w:pPr>
              <w:pStyle w:val="Compact"/>
              <w:jc w:val="center"/>
            </w:pPr>
            <w:r>
              <w:t>[pending GDP]</w:t>
            </w:r>
          </w:p>
        </w:tc>
        <w:tc>
          <w:tcPr>
            <w:tcW w:w="0" w:type="auto"/>
          </w:tcPr>
          <w:p w14:paraId="73F6A6F6" w14:textId="77777777" w:rsidR="00392CC6" w:rsidRDefault="00C76AF3">
            <w:pPr>
              <w:pStyle w:val="Compact"/>
              <w:jc w:val="center"/>
            </w:pPr>
            <w:r>
              <w:t>8–12%</w:t>
            </w:r>
          </w:p>
        </w:tc>
      </w:tr>
      <w:tr w:rsidR="00392CC6" w14:paraId="1953409E" w14:textId="77777777">
        <w:tc>
          <w:tcPr>
            <w:tcW w:w="0" w:type="auto"/>
          </w:tcPr>
          <w:p w14:paraId="6194F9BF" w14:textId="77777777" w:rsidR="00392CC6" w:rsidRDefault="00C76AF3">
            <w:pPr>
              <w:pStyle w:val="Compact"/>
            </w:pPr>
            <w:r>
              <w:t>Direct Taxes / GDP</w:t>
            </w:r>
          </w:p>
        </w:tc>
        <w:tc>
          <w:tcPr>
            <w:tcW w:w="0" w:type="auto"/>
          </w:tcPr>
          <w:p w14:paraId="2B3E10EB" w14:textId="77777777" w:rsidR="00392CC6" w:rsidRDefault="00C76AF3">
            <w:pPr>
              <w:pStyle w:val="Compact"/>
              <w:jc w:val="center"/>
            </w:pPr>
            <w:r>
              <w:t>[pending GDP]</w:t>
            </w:r>
          </w:p>
        </w:tc>
        <w:tc>
          <w:tcPr>
            <w:tcW w:w="0" w:type="auto"/>
          </w:tcPr>
          <w:p w14:paraId="071BDCDE" w14:textId="77777777" w:rsidR="00392CC6" w:rsidRDefault="00C76AF3">
            <w:pPr>
              <w:pStyle w:val="Compact"/>
              <w:jc w:val="center"/>
            </w:pPr>
            <w:r>
              <w:t>[pending GDP]</w:t>
            </w:r>
          </w:p>
        </w:tc>
        <w:tc>
          <w:tcPr>
            <w:tcW w:w="0" w:type="auto"/>
          </w:tcPr>
          <w:p w14:paraId="52F4EDCA" w14:textId="77777777" w:rsidR="00392CC6" w:rsidRDefault="00C76AF3">
            <w:pPr>
              <w:pStyle w:val="Compact"/>
              <w:jc w:val="center"/>
            </w:pPr>
            <w:r>
              <w:t>1–3%</w:t>
            </w:r>
          </w:p>
        </w:tc>
      </w:tr>
      <w:tr w:rsidR="00392CC6" w14:paraId="492C234C" w14:textId="77777777">
        <w:tc>
          <w:tcPr>
            <w:tcW w:w="0" w:type="auto"/>
          </w:tcPr>
          <w:p w14:paraId="29E2A5E5" w14:textId="77777777" w:rsidR="00392CC6" w:rsidRDefault="00C76AF3">
            <w:pPr>
              <w:pStyle w:val="Compact"/>
            </w:pPr>
            <w:r>
              <w:t>Direct Taxes / Total Tax Revenue</w:t>
            </w:r>
          </w:p>
        </w:tc>
        <w:tc>
          <w:tcPr>
            <w:tcW w:w="0" w:type="auto"/>
          </w:tcPr>
          <w:p w14:paraId="77031A61" w14:textId="77777777" w:rsidR="00392CC6" w:rsidRDefault="00C76AF3">
            <w:pPr>
              <w:pStyle w:val="Compact"/>
              <w:jc w:val="center"/>
            </w:pPr>
            <w:r>
              <w:t>~6%</w:t>
            </w:r>
          </w:p>
        </w:tc>
        <w:tc>
          <w:tcPr>
            <w:tcW w:w="0" w:type="auto"/>
          </w:tcPr>
          <w:p w14:paraId="4D17F36C" w14:textId="77777777" w:rsidR="00392CC6" w:rsidRDefault="00C76AF3">
            <w:pPr>
              <w:pStyle w:val="Compact"/>
              <w:jc w:val="center"/>
            </w:pPr>
            <w:r>
              <w:t>~6%</w:t>
            </w:r>
          </w:p>
        </w:tc>
        <w:tc>
          <w:tcPr>
            <w:tcW w:w="0" w:type="auto"/>
          </w:tcPr>
          <w:p w14:paraId="2AE25D90" w14:textId="77777777" w:rsidR="00392CC6" w:rsidRDefault="00C76AF3">
            <w:pPr>
              <w:pStyle w:val="Compact"/>
              <w:jc w:val="center"/>
            </w:pPr>
            <w:r>
              <w:t>15–25%</w:t>
            </w:r>
          </w:p>
        </w:tc>
      </w:tr>
    </w:tbl>
    <w:p w14:paraId="3D52E71D" w14:textId="77777777" w:rsidR="00392CC6" w:rsidRDefault="00C76AF3">
      <w:pPr>
        <w:pStyle w:val="BodyText"/>
      </w:pPr>
      <w:r>
        <w:t>*Benchmarks are approximate ranges for comparable low-income Latin American economies in the 1950s.</w:t>
      </w:r>
    </w:p>
    <w:p w14:paraId="30790878" w14:textId="77777777" w:rsidR="00392CC6" w:rsidRDefault="00C76AF3">
      <w:pPr>
        <w:pStyle w:val="BodyText"/>
      </w:pPr>
      <w:r>
        <w:rPr>
          <w:b/>
          <w:bCs/>
        </w:rPr>
        <w:t>Assessment:</w:t>
      </w:r>
      <w:r>
        <w:t xml:space="preserve"> Even without GDP data, the extremely low share of direct taxes in total revenue (~6%) signals weak domestic tax effort. The government was essentially financing itself through tolls on international trade rather than through taxation of the domestic economy. This is both a vulnerability (trade dependence) and a potential fiscal space reserve (room to develop direct taxation if needed).</w:t>
      </w:r>
    </w:p>
    <w:p w14:paraId="2E46C1A1" w14:textId="77777777" w:rsidR="00392CC6" w:rsidRDefault="00C76AF3">
      <w:r>
        <w:pict w14:anchorId="211A1174">
          <v:rect id="_x0000_i1028" style="width:0;height:1.5pt" o:hralign="center" o:hrstd="t" o:hr="t"/>
        </w:pict>
      </w:r>
    </w:p>
    <w:p w14:paraId="6B7F15C0" w14:textId="77777777" w:rsidR="00392CC6" w:rsidRDefault="00C76AF3">
      <w:pPr>
        <w:pStyle w:val="Heading2"/>
      </w:pPr>
      <w:bookmarkStart w:id="10" w:name="expenditure-rigidity-analysis"/>
      <w:bookmarkEnd w:id="6"/>
      <w:bookmarkEnd w:id="9"/>
      <w:r>
        <w:t>3. Expenditure Rigidity Analysis</w:t>
      </w:r>
    </w:p>
    <w:p w14:paraId="057265E8" w14:textId="77777777" w:rsidR="00392CC6" w:rsidRDefault="00C76AF3">
      <w:pPr>
        <w:pStyle w:val="Heading3"/>
      </w:pPr>
      <w:bookmarkStart w:id="11" w:name="wage-bill-rigidity"/>
      <w:r>
        <w:t>3.1 Wage Bill Rigidity</w:t>
      </w:r>
    </w:p>
    <w:tbl>
      <w:tblPr>
        <w:tblStyle w:val="Table"/>
        <w:tblW w:w="5000" w:type="pct"/>
        <w:tblLook w:val="0020" w:firstRow="1" w:lastRow="0" w:firstColumn="0" w:lastColumn="0" w:noHBand="0" w:noVBand="0"/>
      </w:tblPr>
      <w:tblGrid>
        <w:gridCol w:w="5036"/>
        <w:gridCol w:w="1028"/>
        <w:gridCol w:w="1148"/>
        <w:gridCol w:w="2148"/>
      </w:tblGrid>
      <w:tr w:rsidR="00392CC6" w14:paraId="6AC1A392"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10BC3233" w14:textId="77777777" w:rsidR="00392CC6" w:rsidRDefault="00C76AF3">
            <w:pPr>
              <w:pStyle w:val="Compact"/>
            </w:pPr>
            <w:r>
              <w:t>Indicator</w:t>
            </w:r>
          </w:p>
        </w:tc>
        <w:tc>
          <w:tcPr>
            <w:tcW w:w="0" w:type="auto"/>
          </w:tcPr>
          <w:p w14:paraId="1EDE9BDB" w14:textId="77777777" w:rsidR="00392CC6" w:rsidRDefault="00C76AF3">
            <w:pPr>
              <w:pStyle w:val="Compact"/>
              <w:jc w:val="center"/>
            </w:pPr>
            <w:r>
              <w:t>1952</w:t>
            </w:r>
          </w:p>
        </w:tc>
        <w:tc>
          <w:tcPr>
            <w:tcW w:w="0" w:type="auto"/>
          </w:tcPr>
          <w:p w14:paraId="5D0DE56B" w14:textId="77777777" w:rsidR="00392CC6" w:rsidRDefault="00C76AF3">
            <w:pPr>
              <w:pStyle w:val="Compact"/>
              <w:jc w:val="center"/>
            </w:pPr>
            <w:r>
              <w:t>1953</w:t>
            </w:r>
          </w:p>
        </w:tc>
        <w:tc>
          <w:tcPr>
            <w:tcW w:w="0" w:type="auto"/>
          </w:tcPr>
          <w:p w14:paraId="792710EF" w14:textId="77777777" w:rsidR="00392CC6" w:rsidRDefault="00C76AF3">
            <w:pPr>
              <w:pStyle w:val="Compact"/>
              <w:jc w:val="center"/>
            </w:pPr>
            <w:r>
              <w:t>Alert Threshold</w:t>
            </w:r>
          </w:p>
        </w:tc>
      </w:tr>
      <w:tr w:rsidR="00392CC6" w14:paraId="42D6E6AC" w14:textId="77777777">
        <w:tc>
          <w:tcPr>
            <w:tcW w:w="0" w:type="auto"/>
          </w:tcPr>
          <w:p w14:paraId="21AD16E5" w14:textId="77777777" w:rsidR="00392CC6" w:rsidRDefault="00C76AF3">
            <w:pPr>
              <w:pStyle w:val="Compact"/>
            </w:pPr>
            <w:r>
              <w:t>Personnel spending / Total expenditure</w:t>
            </w:r>
          </w:p>
        </w:tc>
        <w:tc>
          <w:tcPr>
            <w:tcW w:w="0" w:type="auto"/>
          </w:tcPr>
          <w:p w14:paraId="08541687" w14:textId="77777777" w:rsidR="00392CC6" w:rsidRDefault="00C76AF3">
            <w:pPr>
              <w:pStyle w:val="Compact"/>
              <w:jc w:val="center"/>
            </w:pPr>
            <w:r>
              <w:t>48.2%</w:t>
            </w:r>
          </w:p>
        </w:tc>
        <w:tc>
          <w:tcPr>
            <w:tcW w:w="0" w:type="auto"/>
          </w:tcPr>
          <w:p w14:paraId="1CF0E986" w14:textId="77777777" w:rsidR="00392CC6" w:rsidRDefault="00C76AF3">
            <w:pPr>
              <w:pStyle w:val="Compact"/>
              <w:jc w:val="center"/>
            </w:pPr>
            <w:r>
              <w:t>49.7%*</w:t>
            </w:r>
          </w:p>
        </w:tc>
        <w:tc>
          <w:tcPr>
            <w:tcW w:w="0" w:type="auto"/>
          </w:tcPr>
          <w:p w14:paraId="613B8129" w14:textId="77777777" w:rsidR="00392CC6" w:rsidRDefault="00C76AF3">
            <w:pPr>
              <w:pStyle w:val="Compact"/>
              <w:jc w:val="center"/>
            </w:pPr>
            <w:r>
              <w:t>&gt;50%</w:t>
            </w:r>
          </w:p>
        </w:tc>
      </w:tr>
      <w:tr w:rsidR="00392CC6" w14:paraId="67C35A22" w14:textId="77777777">
        <w:tc>
          <w:tcPr>
            <w:tcW w:w="0" w:type="auto"/>
          </w:tcPr>
          <w:p w14:paraId="495C3A16" w14:textId="77777777" w:rsidR="00392CC6" w:rsidRDefault="00C76AF3">
            <w:pPr>
              <w:pStyle w:val="Compact"/>
            </w:pPr>
            <w:r>
              <w:t>Personnel spending / Total revenue</w:t>
            </w:r>
          </w:p>
        </w:tc>
        <w:tc>
          <w:tcPr>
            <w:tcW w:w="0" w:type="auto"/>
          </w:tcPr>
          <w:p w14:paraId="722D4384" w14:textId="77777777" w:rsidR="00392CC6" w:rsidRDefault="00C76AF3">
            <w:pPr>
              <w:pStyle w:val="Compact"/>
              <w:jc w:val="center"/>
            </w:pPr>
            <w:r>
              <w:t>39.9%</w:t>
            </w:r>
          </w:p>
        </w:tc>
        <w:tc>
          <w:tcPr>
            <w:tcW w:w="0" w:type="auto"/>
          </w:tcPr>
          <w:p w14:paraId="4D8423E0" w14:textId="77777777" w:rsidR="00392CC6" w:rsidRDefault="00C76AF3">
            <w:pPr>
              <w:pStyle w:val="Compact"/>
              <w:jc w:val="center"/>
            </w:pPr>
            <w:r>
              <w:t>44.0%</w:t>
            </w:r>
          </w:p>
        </w:tc>
        <w:tc>
          <w:tcPr>
            <w:tcW w:w="0" w:type="auto"/>
          </w:tcPr>
          <w:p w14:paraId="61612B34" w14:textId="77777777" w:rsidR="00392CC6" w:rsidRDefault="00C76AF3">
            <w:pPr>
              <w:pStyle w:val="Compact"/>
              <w:jc w:val="center"/>
            </w:pPr>
            <w:r>
              <w:t>&gt;45%</w:t>
            </w:r>
          </w:p>
        </w:tc>
      </w:tr>
    </w:tbl>
    <w:p w14:paraId="4C65A7F0" w14:textId="77777777" w:rsidR="00392CC6" w:rsidRDefault="00C76AF3">
      <w:pPr>
        <w:pStyle w:val="BodyText"/>
      </w:pPr>
      <w:r>
        <w:t>*1953 figure combines Salarios Permanentes (43.5%) + Otros Servicios Personales (6.2%).</w:t>
      </w:r>
    </w:p>
    <w:p w14:paraId="72E87701" w14:textId="77777777" w:rsidR="00392CC6" w:rsidRDefault="00C76AF3">
      <w:pPr>
        <w:pStyle w:val="BodyText"/>
      </w:pPr>
      <w:r>
        <w:rPr>
          <w:b/>
          <w:bCs/>
        </w:rPr>
        <w:t>Assessment:</w:t>
      </w:r>
      <w:r>
        <w:t xml:space="preserve"> The wage bill was approaching critical thresholds. At nearly 50% of total expenditure, personnel costs represented the single largest spending category and the most rigid component of the budget. In a revenue downturn, the government would have very limited room to cut spending without either reducing the wage bill (politically costly) or cutting investment and subsidies (developmentally damaging).</w:t>
      </w:r>
    </w:p>
    <w:p w14:paraId="5B2A52E1" w14:textId="77777777" w:rsidR="00392CC6" w:rsidRDefault="00C76AF3">
      <w:pPr>
        <w:pStyle w:val="Heading3"/>
      </w:pPr>
      <w:bookmarkStart w:id="12" w:name="expenditure-flexibility-index"/>
      <w:bookmarkEnd w:id="11"/>
      <w:r>
        <w:t>3.2 Expenditure Flexibility Index</w:t>
      </w:r>
    </w:p>
    <w:p w14:paraId="01BA62C6" w14:textId="77777777" w:rsidR="00392CC6" w:rsidRDefault="00C76AF3">
      <w:pPr>
        <w:pStyle w:val="FirstParagraph"/>
      </w:pPr>
      <w:r>
        <w:t>The following decomposition classifies spending by degree of short-term flexibility:</w:t>
      </w:r>
    </w:p>
    <w:tbl>
      <w:tblPr>
        <w:tblStyle w:val="Table"/>
        <w:tblW w:w="5000" w:type="pct"/>
        <w:tblLook w:val="0020" w:firstRow="1" w:lastRow="0" w:firstColumn="0" w:lastColumn="0" w:noHBand="0" w:noVBand="0"/>
      </w:tblPr>
      <w:tblGrid>
        <w:gridCol w:w="3890"/>
        <w:gridCol w:w="1543"/>
        <w:gridCol w:w="1543"/>
        <w:gridCol w:w="2384"/>
      </w:tblGrid>
      <w:tr w:rsidR="00392CC6" w14:paraId="0985807A"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666C0205" w14:textId="77777777" w:rsidR="00392CC6" w:rsidRDefault="00C76AF3">
            <w:pPr>
              <w:pStyle w:val="Compact"/>
            </w:pPr>
            <w:r>
              <w:t>Category</w:t>
            </w:r>
          </w:p>
        </w:tc>
        <w:tc>
          <w:tcPr>
            <w:tcW w:w="0" w:type="auto"/>
          </w:tcPr>
          <w:p w14:paraId="58966D95" w14:textId="77777777" w:rsidR="00392CC6" w:rsidRDefault="00C76AF3">
            <w:pPr>
              <w:pStyle w:val="Compact"/>
              <w:jc w:val="center"/>
            </w:pPr>
            <w:r>
              <w:t>1952 (%)</w:t>
            </w:r>
          </w:p>
        </w:tc>
        <w:tc>
          <w:tcPr>
            <w:tcW w:w="0" w:type="auto"/>
          </w:tcPr>
          <w:p w14:paraId="1DF6CFF6" w14:textId="77777777" w:rsidR="00392CC6" w:rsidRDefault="00C76AF3">
            <w:pPr>
              <w:pStyle w:val="Compact"/>
              <w:jc w:val="center"/>
            </w:pPr>
            <w:r>
              <w:t>1953 (%)</w:t>
            </w:r>
          </w:p>
        </w:tc>
        <w:tc>
          <w:tcPr>
            <w:tcW w:w="0" w:type="auto"/>
          </w:tcPr>
          <w:p w14:paraId="2094DA40" w14:textId="77777777" w:rsidR="00392CC6" w:rsidRDefault="00C76AF3">
            <w:pPr>
              <w:pStyle w:val="Compact"/>
              <w:jc w:val="center"/>
            </w:pPr>
            <w:r>
              <w:t>Flexibility</w:t>
            </w:r>
          </w:p>
        </w:tc>
      </w:tr>
      <w:tr w:rsidR="00392CC6" w14:paraId="59EE1698" w14:textId="77777777">
        <w:tc>
          <w:tcPr>
            <w:tcW w:w="0" w:type="auto"/>
          </w:tcPr>
          <w:p w14:paraId="619E76C6" w14:textId="77777777" w:rsidR="00392CC6" w:rsidRDefault="00C76AF3">
            <w:pPr>
              <w:pStyle w:val="Compact"/>
            </w:pPr>
            <w:r>
              <w:t>Personnel (wages, salaries)</w:t>
            </w:r>
          </w:p>
        </w:tc>
        <w:tc>
          <w:tcPr>
            <w:tcW w:w="0" w:type="auto"/>
          </w:tcPr>
          <w:p w14:paraId="173F7B73" w14:textId="77777777" w:rsidR="00392CC6" w:rsidRDefault="00C76AF3">
            <w:pPr>
              <w:pStyle w:val="Compact"/>
              <w:jc w:val="center"/>
            </w:pPr>
            <w:r>
              <w:t>48.2%</w:t>
            </w:r>
          </w:p>
        </w:tc>
        <w:tc>
          <w:tcPr>
            <w:tcW w:w="0" w:type="auto"/>
          </w:tcPr>
          <w:p w14:paraId="796FA55E" w14:textId="77777777" w:rsidR="00392CC6" w:rsidRDefault="00C76AF3">
            <w:pPr>
              <w:pStyle w:val="Compact"/>
              <w:jc w:val="center"/>
            </w:pPr>
            <w:r>
              <w:t>49.7%</w:t>
            </w:r>
          </w:p>
        </w:tc>
        <w:tc>
          <w:tcPr>
            <w:tcW w:w="0" w:type="auto"/>
          </w:tcPr>
          <w:p w14:paraId="4B280900" w14:textId="77777777" w:rsidR="00392CC6" w:rsidRDefault="00C76AF3">
            <w:pPr>
              <w:pStyle w:val="Compact"/>
              <w:jc w:val="center"/>
            </w:pPr>
            <w:r>
              <w:t>RIGID</w:t>
            </w:r>
          </w:p>
        </w:tc>
      </w:tr>
      <w:tr w:rsidR="00392CC6" w14:paraId="6EA5A656" w14:textId="77777777">
        <w:tc>
          <w:tcPr>
            <w:tcW w:w="0" w:type="auto"/>
          </w:tcPr>
          <w:p w14:paraId="1DE5BE01" w14:textId="77777777" w:rsidR="00392CC6" w:rsidRDefault="00C76AF3">
            <w:pPr>
              <w:pStyle w:val="Compact"/>
            </w:pPr>
            <w:r>
              <w:t>Debt service</w:t>
            </w:r>
          </w:p>
        </w:tc>
        <w:tc>
          <w:tcPr>
            <w:tcW w:w="0" w:type="auto"/>
          </w:tcPr>
          <w:p w14:paraId="11B6FEB6" w14:textId="77777777" w:rsidR="00392CC6" w:rsidRDefault="00C76AF3">
            <w:pPr>
              <w:pStyle w:val="Compact"/>
              <w:jc w:val="center"/>
            </w:pPr>
            <w:r>
              <w:t>4.6%</w:t>
            </w:r>
          </w:p>
        </w:tc>
        <w:tc>
          <w:tcPr>
            <w:tcW w:w="0" w:type="auto"/>
          </w:tcPr>
          <w:p w14:paraId="3456577F" w14:textId="77777777" w:rsidR="00392CC6" w:rsidRDefault="00C76AF3">
            <w:pPr>
              <w:pStyle w:val="Compact"/>
              <w:jc w:val="center"/>
            </w:pPr>
            <w:r>
              <w:t>4.3%</w:t>
            </w:r>
          </w:p>
        </w:tc>
        <w:tc>
          <w:tcPr>
            <w:tcW w:w="0" w:type="auto"/>
          </w:tcPr>
          <w:p w14:paraId="6F6772A2" w14:textId="77777777" w:rsidR="00392CC6" w:rsidRDefault="00C76AF3">
            <w:pPr>
              <w:pStyle w:val="Compact"/>
              <w:jc w:val="center"/>
            </w:pPr>
            <w:r>
              <w:t>RIGID</w:t>
            </w:r>
          </w:p>
        </w:tc>
      </w:tr>
      <w:tr w:rsidR="00392CC6" w14:paraId="7278178B" w14:textId="77777777">
        <w:tc>
          <w:tcPr>
            <w:tcW w:w="0" w:type="auto"/>
          </w:tcPr>
          <w:p w14:paraId="63EB2A40" w14:textId="77777777" w:rsidR="00392CC6" w:rsidRDefault="00C76AF3">
            <w:pPr>
              <w:pStyle w:val="Compact"/>
            </w:pPr>
            <w:r>
              <w:t>Subsidies &amp; transfers</w:t>
            </w:r>
          </w:p>
        </w:tc>
        <w:tc>
          <w:tcPr>
            <w:tcW w:w="0" w:type="auto"/>
          </w:tcPr>
          <w:p w14:paraId="4FC0C093" w14:textId="77777777" w:rsidR="00392CC6" w:rsidRDefault="00C76AF3">
            <w:pPr>
              <w:pStyle w:val="Compact"/>
              <w:jc w:val="center"/>
            </w:pPr>
            <w:r>
              <w:t>21.1%</w:t>
            </w:r>
          </w:p>
        </w:tc>
        <w:tc>
          <w:tcPr>
            <w:tcW w:w="0" w:type="auto"/>
          </w:tcPr>
          <w:p w14:paraId="30A8B3C0" w14:textId="77777777" w:rsidR="00392CC6" w:rsidRDefault="00C76AF3">
            <w:pPr>
              <w:pStyle w:val="Compact"/>
              <w:jc w:val="center"/>
            </w:pPr>
            <w:r>
              <w:t>21.2%</w:t>
            </w:r>
          </w:p>
        </w:tc>
        <w:tc>
          <w:tcPr>
            <w:tcW w:w="0" w:type="auto"/>
          </w:tcPr>
          <w:p w14:paraId="53049940" w14:textId="77777777" w:rsidR="00392CC6" w:rsidRDefault="00C76AF3">
            <w:pPr>
              <w:pStyle w:val="Compact"/>
              <w:jc w:val="center"/>
            </w:pPr>
            <w:r>
              <w:t>SEMI-RIGID</w:t>
            </w:r>
          </w:p>
        </w:tc>
      </w:tr>
      <w:tr w:rsidR="00392CC6" w14:paraId="5DF3B1C6" w14:textId="77777777">
        <w:tc>
          <w:tcPr>
            <w:tcW w:w="0" w:type="auto"/>
          </w:tcPr>
          <w:p w14:paraId="042C33E6" w14:textId="77777777" w:rsidR="00392CC6" w:rsidRDefault="00C76AF3">
            <w:pPr>
              <w:pStyle w:val="Compact"/>
            </w:pPr>
            <w:r>
              <w:t>Materials &amp; supplies</w:t>
            </w:r>
          </w:p>
        </w:tc>
        <w:tc>
          <w:tcPr>
            <w:tcW w:w="0" w:type="auto"/>
          </w:tcPr>
          <w:p w14:paraId="2ECFB089" w14:textId="77777777" w:rsidR="00392CC6" w:rsidRDefault="00C76AF3">
            <w:pPr>
              <w:pStyle w:val="Compact"/>
              <w:jc w:val="center"/>
            </w:pPr>
            <w:r>
              <w:t>10.1%</w:t>
            </w:r>
          </w:p>
        </w:tc>
        <w:tc>
          <w:tcPr>
            <w:tcW w:w="0" w:type="auto"/>
          </w:tcPr>
          <w:p w14:paraId="70B43129" w14:textId="77777777" w:rsidR="00392CC6" w:rsidRDefault="00C76AF3">
            <w:pPr>
              <w:pStyle w:val="Compact"/>
              <w:jc w:val="center"/>
            </w:pPr>
            <w:r>
              <w:t>5.2%</w:t>
            </w:r>
          </w:p>
        </w:tc>
        <w:tc>
          <w:tcPr>
            <w:tcW w:w="0" w:type="auto"/>
          </w:tcPr>
          <w:p w14:paraId="4BCEF757" w14:textId="77777777" w:rsidR="00392CC6" w:rsidRDefault="00C76AF3">
            <w:pPr>
              <w:pStyle w:val="Compact"/>
              <w:jc w:val="center"/>
            </w:pPr>
            <w:r>
              <w:t>FLEXIBLE</w:t>
            </w:r>
          </w:p>
        </w:tc>
      </w:tr>
      <w:tr w:rsidR="00392CC6" w14:paraId="5ACCCA67" w14:textId="77777777">
        <w:tc>
          <w:tcPr>
            <w:tcW w:w="0" w:type="auto"/>
          </w:tcPr>
          <w:p w14:paraId="68F7EBB8" w14:textId="77777777" w:rsidR="00392CC6" w:rsidRDefault="00C76AF3">
            <w:pPr>
              <w:pStyle w:val="Compact"/>
            </w:pPr>
            <w:r>
              <w:t>Equipment</w:t>
            </w:r>
          </w:p>
        </w:tc>
        <w:tc>
          <w:tcPr>
            <w:tcW w:w="0" w:type="auto"/>
          </w:tcPr>
          <w:p w14:paraId="0A1AD62D" w14:textId="77777777" w:rsidR="00392CC6" w:rsidRDefault="00C76AF3">
            <w:pPr>
              <w:pStyle w:val="Compact"/>
              <w:jc w:val="center"/>
            </w:pPr>
            <w:r>
              <w:t>3.0%</w:t>
            </w:r>
          </w:p>
        </w:tc>
        <w:tc>
          <w:tcPr>
            <w:tcW w:w="0" w:type="auto"/>
          </w:tcPr>
          <w:p w14:paraId="42973824" w14:textId="77777777" w:rsidR="00392CC6" w:rsidRDefault="00C76AF3">
            <w:pPr>
              <w:pStyle w:val="Compact"/>
              <w:jc w:val="center"/>
            </w:pPr>
            <w:r>
              <w:t>4.4%</w:t>
            </w:r>
          </w:p>
        </w:tc>
        <w:tc>
          <w:tcPr>
            <w:tcW w:w="0" w:type="auto"/>
          </w:tcPr>
          <w:p w14:paraId="3E5194F8" w14:textId="77777777" w:rsidR="00392CC6" w:rsidRDefault="00C76AF3">
            <w:pPr>
              <w:pStyle w:val="Compact"/>
              <w:jc w:val="center"/>
            </w:pPr>
            <w:r>
              <w:t>FLEXIBLE</w:t>
            </w:r>
          </w:p>
        </w:tc>
      </w:tr>
      <w:tr w:rsidR="00392CC6" w14:paraId="14F204F7" w14:textId="77777777">
        <w:tc>
          <w:tcPr>
            <w:tcW w:w="0" w:type="auto"/>
          </w:tcPr>
          <w:p w14:paraId="7D7DC93A" w14:textId="77777777" w:rsidR="00392CC6" w:rsidRDefault="00C76AF3">
            <w:pPr>
              <w:pStyle w:val="Compact"/>
            </w:pPr>
            <w:r>
              <w:t>Property</w:t>
            </w:r>
          </w:p>
        </w:tc>
        <w:tc>
          <w:tcPr>
            <w:tcW w:w="0" w:type="auto"/>
          </w:tcPr>
          <w:p w14:paraId="5D9DA0EB" w14:textId="77777777" w:rsidR="00392CC6" w:rsidRDefault="00C76AF3">
            <w:pPr>
              <w:pStyle w:val="Compact"/>
              <w:jc w:val="center"/>
            </w:pPr>
            <w:r>
              <w:t>1.9%</w:t>
            </w:r>
          </w:p>
        </w:tc>
        <w:tc>
          <w:tcPr>
            <w:tcW w:w="0" w:type="auto"/>
          </w:tcPr>
          <w:p w14:paraId="0333321D" w14:textId="77777777" w:rsidR="00392CC6" w:rsidRDefault="00C76AF3">
            <w:pPr>
              <w:pStyle w:val="Compact"/>
              <w:jc w:val="center"/>
            </w:pPr>
            <w:r>
              <w:t>5.6%</w:t>
            </w:r>
          </w:p>
        </w:tc>
        <w:tc>
          <w:tcPr>
            <w:tcW w:w="0" w:type="auto"/>
          </w:tcPr>
          <w:p w14:paraId="5E1634BC" w14:textId="77777777" w:rsidR="00392CC6" w:rsidRDefault="00C76AF3">
            <w:pPr>
              <w:pStyle w:val="Compact"/>
              <w:jc w:val="center"/>
            </w:pPr>
            <w:r>
              <w:t>FLEXIBLE</w:t>
            </w:r>
          </w:p>
        </w:tc>
      </w:tr>
      <w:tr w:rsidR="00392CC6" w14:paraId="21F42211" w14:textId="77777777">
        <w:tc>
          <w:tcPr>
            <w:tcW w:w="0" w:type="auto"/>
          </w:tcPr>
          <w:p w14:paraId="23B53B18" w14:textId="77777777" w:rsidR="00392CC6" w:rsidRDefault="00C76AF3">
            <w:pPr>
              <w:pStyle w:val="Compact"/>
            </w:pPr>
            <w:r>
              <w:t>Non-personal services</w:t>
            </w:r>
          </w:p>
        </w:tc>
        <w:tc>
          <w:tcPr>
            <w:tcW w:w="0" w:type="auto"/>
          </w:tcPr>
          <w:p w14:paraId="7AA8C681" w14:textId="77777777" w:rsidR="00392CC6" w:rsidRDefault="00C76AF3">
            <w:pPr>
              <w:pStyle w:val="Compact"/>
              <w:jc w:val="center"/>
            </w:pPr>
            <w:r>
              <w:t>5.5%</w:t>
            </w:r>
          </w:p>
        </w:tc>
        <w:tc>
          <w:tcPr>
            <w:tcW w:w="0" w:type="auto"/>
          </w:tcPr>
          <w:p w14:paraId="37D44B4F" w14:textId="77777777" w:rsidR="00392CC6" w:rsidRDefault="00C76AF3">
            <w:pPr>
              <w:pStyle w:val="Compact"/>
              <w:jc w:val="center"/>
            </w:pPr>
            <w:r>
              <w:t>6.7%</w:t>
            </w:r>
          </w:p>
        </w:tc>
        <w:tc>
          <w:tcPr>
            <w:tcW w:w="0" w:type="auto"/>
          </w:tcPr>
          <w:p w14:paraId="6659E6B2" w14:textId="77777777" w:rsidR="00392CC6" w:rsidRDefault="00C76AF3">
            <w:pPr>
              <w:pStyle w:val="Compact"/>
              <w:jc w:val="center"/>
            </w:pPr>
            <w:r>
              <w:t>SEMI-FLEXIBLE</w:t>
            </w:r>
          </w:p>
        </w:tc>
      </w:tr>
      <w:tr w:rsidR="00392CC6" w14:paraId="6C5FDA70" w14:textId="77777777">
        <w:tc>
          <w:tcPr>
            <w:tcW w:w="0" w:type="auto"/>
          </w:tcPr>
          <w:p w14:paraId="2DCBB321" w14:textId="77777777" w:rsidR="00392CC6" w:rsidRDefault="00C76AF3">
            <w:pPr>
              <w:pStyle w:val="Compact"/>
            </w:pPr>
            <w:r>
              <w:t>Other</w:t>
            </w:r>
          </w:p>
        </w:tc>
        <w:tc>
          <w:tcPr>
            <w:tcW w:w="0" w:type="auto"/>
          </w:tcPr>
          <w:p w14:paraId="7AA3C15E" w14:textId="77777777" w:rsidR="00392CC6" w:rsidRDefault="00C76AF3">
            <w:pPr>
              <w:pStyle w:val="Compact"/>
              <w:jc w:val="center"/>
            </w:pPr>
            <w:r>
              <w:t>1.5%</w:t>
            </w:r>
          </w:p>
        </w:tc>
        <w:tc>
          <w:tcPr>
            <w:tcW w:w="0" w:type="auto"/>
          </w:tcPr>
          <w:p w14:paraId="773E1ED1" w14:textId="77777777" w:rsidR="00392CC6" w:rsidRDefault="00C76AF3">
            <w:pPr>
              <w:pStyle w:val="Compact"/>
              <w:jc w:val="center"/>
            </w:pPr>
            <w:r>
              <w:t>3.9%</w:t>
            </w:r>
          </w:p>
        </w:tc>
        <w:tc>
          <w:tcPr>
            <w:tcW w:w="0" w:type="auto"/>
          </w:tcPr>
          <w:p w14:paraId="253138E1" w14:textId="77777777" w:rsidR="00392CC6" w:rsidRDefault="00C76AF3">
            <w:pPr>
              <w:pStyle w:val="Compact"/>
              <w:jc w:val="center"/>
            </w:pPr>
            <w:r>
              <w:t>FLEXIBLE</w:t>
            </w:r>
          </w:p>
        </w:tc>
      </w:tr>
      <w:tr w:rsidR="00392CC6" w14:paraId="579717EB" w14:textId="77777777">
        <w:tc>
          <w:tcPr>
            <w:tcW w:w="0" w:type="auto"/>
          </w:tcPr>
          <w:p w14:paraId="344BFE90" w14:textId="77777777" w:rsidR="00392CC6" w:rsidRDefault="00C76AF3">
            <w:pPr>
              <w:pStyle w:val="Compact"/>
            </w:pPr>
            <w:r>
              <w:rPr>
                <w:b/>
                <w:bCs/>
              </w:rPr>
              <w:t>Rigid + semi-rigid</w:t>
            </w:r>
          </w:p>
        </w:tc>
        <w:tc>
          <w:tcPr>
            <w:tcW w:w="0" w:type="auto"/>
          </w:tcPr>
          <w:p w14:paraId="6271A829" w14:textId="77777777" w:rsidR="00392CC6" w:rsidRDefault="00C76AF3">
            <w:pPr>
              <w:pStyle w:val="Compact"/>
              <w:jc w:val="center"/>
            </w:pPr>
            <w:r>
              <w:rPr>
                <w:b/>
                <w:bCs/>
              </w:rPr>
              <w:t>73.9%</w:t>
            </w:r>
          </w:p>
        </w:tc>
        <w:tc>
          <w:tcPr>
            <w:tcW w:w="0" w:type="auto"/>
          </w:tcPr>
          <w:p w14:paraId="3D4D2288" w14:textId="77777777" w:rsidR="00392CC6" w:rsidRDefault="00C76AF3">
            <w:pPr>
              <w:pStyle w:val="Compact"/>
              <w:jc w:val="center"/>
            </w:pPr>
            <w:r>
              <w:rPr>
                <w:b/>
                <w:bCs/>
              </w:rPr>
              <w:t>75.2%</w:t>
            </w:r>
          </w:p>
        </w:tc>
        <w:tc>
          <w:tcPr>
            <w:tcW w:w="0" w:type="auto"/>
          </w:tcPr>
          <w:p w14:paraId="53329BFD" w14:textId="77777777" w:rsidR="00392CC6" w:rsidRDefault="00392CC6">
            <w:pPr>
              <w:pStyle w:val="Compact"/>
            </w:pPr>
          </w:p>
        </w:tc>
      </w:tr>
      <w:tr w:rsidR="00392CC6" w14:paraId="680D594C" w14:textId="77777777">
        <w:tc>
          <w:tcPr>
            <w:tcW w:w="0" w:type="auto"/>
          </w:tcPr>
          <w:p w14:paraId="5A7D787F" w14:textId="77777777" w:rsidR="00392CC6" w:rsidRDefault="00C76AF3">
            <w:pPr>
              <w:pStyle w:val="Compact"/>
            </w:pPr>
            <w:r>
              <w:rPr>
                <w:b/>
                <w:bCs/>
              </w:rPr>
              <w:t>Flexible</w:t>
            </w:r>
          </w:p>
        </w:tc>
        <w:tc>
          <w:tcPr>
            <w:tcW w:w="0" w:type="auto"/>
          </w:tcPr>
          <w:p w14:paraId="1A849015" w14:textId="77777777" w:rsidR="00392CC6" w:rsidRDefault="00C76AF3">
            <w:pPr>
              <w:pStyle w:val="Compact"/>
              <w:jc w:val="center"/>
            </w:pPr>
            <w:r>
              <w:rPr>
                <w:b/>
                <w:bCs/>
              </w:rPr>
              <w:t>26.1%</w:t>
            </w:r>
          </w:p>
        </w:tc>
        <w:tc>
          <w:tcPr>
            <w:tcW w:w="0" w:type="auto"/>
          </w:tcPr>
          <w:p w14:paraId="6A983757" w14:textId="77777777" w:rsidR="00392CC6" w:rsidRDefault="00C76AF3">
            <w:pPr>
              <w:pStyle w:val="Compact"/>
              <w:jc w:val="center"/>
            </w:pPr>
            <w:r>
              <w:rPr>
                <w:b/>
                <w:bCs/>
              </w:rPr>
              <w:t>24.8%</w:t>
            </w:r>
          </w:p>
        </w:tc>
        <w:tc>
          <w:tcPr>
            <w:tcW w:w="0" w:type="auto"/>
          </w:tcPr>
          <w:p w14:paraId="6C8FE9E8" w14:textId="77777777" w:rsidR="00392CC6" w:rsidRDefault="00392CC6">
            <w:pPr>
              <w:pStyle w:val="Compact"/>
            </w:pPr>
          </w:p>
        </w:tc>
      </w:tr>
    </w:tbl>
    <w:p w14:paraId="6327A7BA" w14:textId="77777777" w:rsidR="00392CC6" w:rsidRDefault="00C76AF3">
      <w:pPr>
        <w:pStyle w:val="BodyText"/>
      </w:pPr>
      <w:r>
        <w:rPr>
          <w:b/>
          <w:bCs/>
        </w:rPr>
        <w:t>Assessment:</w:t>
      </w:r>
      <w:r>
        <w:t xml:space="preserve"> Approximately </w:t>
      </w:r>
      <w:r>
        <w:rPr>
          <w:b/>
          <w:bCs/>
        </w:rPr>
        <w:t>three-quarters of the budget was rigid or semi-rigid</w:t>
      </w:r>
      <w:r>
        <w:t>, meaning that in a fiscal crunch, the government could realistically adjust only about 25% of spending without confronting the wage bill or debt obligations. This is a concerning structural feature, particularly given the revenue volatility documented above.</w:t>
      </w:r>
    </w:p>
    <w:p w14:paraId="035A72BA" w14:textId="77777777" w:rsidR="00392CC6" w:rsidRDefault="00C76AF3">
      <w:r>
        <w:pict w14:anchorId="001C4A43">
          <v:rect id="_x0000_i1029" style="width:0;height:1.5pt" o:hralign="center" o:hrstd="t" o:hr="t"/>
        </w:pict>
      </w:r>
    </w:p>
    <w:p w14:paraId="3FEFE91E" w14:textId="77777777" w:rsidR="00392CC6" w:rsidRDefault="00C76AF3">
      <w:pPr>
        <w:pStyle w:val="Heading2"/>
      </w:pPr>
      <w:bookmarkStart w:id="13" w:name="debt-sustainability-analysis"/>
      <w:bookmarkEnd w:id="10"/>
      <w:bookmarkEnd w:id="12"/>
      <w:r>
        <w:t>4. Debt Sustainability Analysis</w:t>
      </w:r>
    </w:p>
    <w:p w14:paraId="71CEE96E" w14:textId="77777777" w:rsidR="00392CC6" w:rsidRDefault="00C76AF3">
      <w:pPr>
        <w:pStyle w:val="Heading3"/>
      </w:pPr>
      <w:bookmarkStart w:id="14" w:name="debt-stock-indicators"/>
      <w:r>
        <w:t>4.1 Debt Stock Indicators</w:t>
      </w:r>
    </w:p>
    <w:tbl>
      <w:tblPr>
        <w:tblStyle w:val="Table"/>
        <w:tblW w:w="5000" w:type="pct"/>
        <w:tblLook w:val="0020" w:firstRow="1" w:lastRow="0" w:firstColumn="0" w:lastColumn="0" w:noHBand="0" w:noVBand="0"/>
      </w:tblPr>
      <w:tblGrid>
        <w:gridCol w:w="4244"/>
        <w:gridCol w:w="1799"/>
        <w:gridCol w:w="1799"/>
        <w:gridCol w:w="1518"/>
      </w:tblGrid>
      <w:tr w:rsidR="00392CC6" w14:paraId="0ED5258A"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29DE1062" w14:textId="77777777" w:rsidR="00392CC6" w:rsidRDefault="00C76AF3">
            <w:pPr>
              <w:pStyle w:val="Compact"/>
            </w:pPr>
            <w:r>
              <w:t>Indicator</w:t>
            </w:r>
          </w:p>
        </w:tc>
        <w:tc>
          <w:tcPr>
            <w:tcW w:w="0" w:type="auto"/>
          </w:tcPr>
          <w:p w14:paraId="472736F9" w14:textId="77777777" w:rsidR="00392CC6" w:rsidRDefault="00C76AF3">
            <w:pPr>
              <w:pStyle w:val="Compact"/>
              <w:jc w:val="center"/>
            </w:pPr>
            <w:r>
              <w:t>End-1952</w:t>
            </w:r>
          </w:p>
        </w:tc>
        <w:tc>
          <w:tcPr>
            <w:tcW w:w="0" w:type="auto"/>
          </w:tcPr>
          <w:p w14:paraId="4674D136" w14:textId="77777777" w:rsidR="00392CC6" w:rsidRDefault="00C76AF3">
            <w:pPr>
              <w:pStyle w:val="Compact"/>
              <w:jc w:val="center"/>
            </w:pPr>
            <w:r>
              <w:t>End-1953</w:t>
            </w:r>
          </w:p>
        </w:tc>
        <w:tc>
          <w:tcPr>
            <w:tcW w:w="0" w:type="auto"/>
          </w:tcPr>
          <w:p w14:paraId="0A8AEDE5" w14:textId="77777777" w:rsidR="00392CC6" w:rsidRDefault="00C76AF3">
            <w:pPr>
              <w:pStyle w:val="Compact"/>
              <w:jc w:val="center"/>
            </w:pPr>
            <w:r>
              <w:t>Direction</w:t>
            </w:r>
          </w:p>
        </w:tc>
      </w:tr>
      <w:tr w:rsidR="00392CC6" w14:paraId="619D717D" w14:textId="77777777">
        <w:tc>
          <w:tcPr>
            <w:tcW w:w="0" w:type="auto"/>
          </w:tcPr>
          <w:p w14:paraId="220DCD37" w14:textId="77777777" w:rsidR="00392CC6" w:rsidRDefault="00C76AF3">
            <w:pPr>
              <w:pStyle w:val="Compact"/>
            </w:pPr>
            <w:r>
              <w:t>Total Public Debt</w:t>
            </w:r>
          </w:p>
        </w:tc>
        <w:tc>
          <w:tcPr>
            <w:tcW w:w="0" w:type="auto"/>
          </w:tcPr>
          <w:p w14:paraId="068685A9" w14:textId="77777777" w:rsidR="00392CC6" w:rsidRDefault="00C76AF3">
            <w:pPr>
              <w:pStyle w:val="Compact"/>
              <w:jc w:val="center"/>
            </w:pPr>
            <w:r>
              <w:t>₡</w:t>
            </w:r>
            <w:r>
              <w:t>30,583,446</w:t>
            </w:r>
          </w:p>
        </w:tc>
        <w:tc>
          <w:tcPr>
            <w:tcW w:w="0" w:type="auto"/>
          </w:tcPr>
          <w:p w14:paraId="71C24D3A" w14:textId="77777777" w:rsidR="00392CC6" w:rsidRDefault="00C76AF3">
            <w:pPr>
              <w:pStyle w:val="Compact"/>
              <w:jc w:val="center"/>
            </w:pPr>
            <w:r>
              <w:t>₡</w:t>
            </w:r>
            <w:r>
              <w:t>28,399,013</w:t>
            </w:r>
          </w:p>
        </w:tc>
        <w:tc>
          <w:tcPr>
            <w:tcW w:w="0" w:type="auto"/>
          </w:tcPr>
          <w:p w14:paraId="4619AA0C" w14:textId="77777777" w:rsidR="00392CC6" w:rsidRDefault="00C76AF3">
            <w:pPr>
              <w:pStyle w:val="Compact"/>
              <w:jc w:val="center"/>
            </w:pPr>
            <w:r>
              <w:t>↓ improving</w:t>
            </w:r>
          </w:p>
        </w:tc>
      </w:tr>
      <w:tr w:rsidR="00392CC6" w14:paraId="1A13B283" w14:textId="77777777">
        <w:tc>
          <w:tcPr>
            <w:tcW w:w="0" w:type="auto"/>
          </w:tcPr>
          <w:p w14:paraId="7017AE29" w14:textId="77777777" w:rsidR="00392CC6" w:rsidRDefault="00C76AF3">
            <w:pPr>
              <w:pStyle w:val="Compact"/>
            </w:pPr>
            <w:r>
              <w:t>External Debt</w:t>
            </w:r>
          </w:p>
        </w:tc>
        <w:tc>
          <w:tcPr>
            <w:tcW w:w="0" w:type="auto"/>
          </w:tcPr>
          <w:p w14:paraId="57814E5C" w14:textId="77777777" w:rsidR="00392CC6" w:rsidRDefault="00C76AF3">
            <w:pPr>
              <w:pStyle w:val="Compact"/>
              <w:jc w:val="center"/>
            </w:pPr>
            <w:r>
              <w:t>₡</w:t>
            </w:r>
            <w:r>
              <w:t>20,389,891</w:t>
            </w:r>
          </w:p>
        </w:tc>
        <w:tc>
          <w:tcPr>
            <w:tcW w:w="0" w:type="auto"/>
          </w:tcPr>
          <w:p w14:paraId="16A7F5D1" w14:textId="77777777" w:rsidR="00392CC6" w:rsidRDefault="00C76AF3">
            <w:pPr>
              <w:pStyle w:val="Compact"/>
              <w:jc w:val="center"/>
            </w:pPr>
            <w:r>
              <w:t>₡</w:t>
            </w:r>
            <w:r>
              <w:t>18,805,457</w:t>
            </w:r>
          </w:p>
        </w:tc>
        <w:tc>
          <w:tcPr>
            <w:tcW w:w="0" w:type="auto"/>
          </w:tcPr>
          <w:p w14:paraId="448E16F6" w14:textId="77777777" w:rsidR="00392CC6" w:rsidRDefault="00C76AF3">
            <w:pPr>
              <w:pStyle w:val="Compact"/>
              <w:jc w:val="center"/>
            </w:pPr>
            <w:r>
              <w:t>↓ improving</w:t>
            </w:r>
          </w:p>
        </w:tc>
      </w:tr>
      <w:tr w:rsidR="00392CC6" w14:paraId="6D0B7696" w14:textId="77777777">
        <w:tc>
          <w:tcPr>
            <w:tcW w:w="0" w:type="auto"/>
          </w:tcPr>
          <w:p w14:paraId="00B40896" w14:textId="77777777" w:rsidR="00392CC6" w:rsidRDefault="00C76AF3">
            <w:pPr>
              <w:pStyle w:val="Compact"/>
            </w:pPr>
            <w:r>
              <w:t>Internal Debt</w:t>
            </w:r>
          </w:p>
        </w:tc>
        <w:tc>
          <w:tcPr>
            <w:tcW w:w="0" w:type="auto"/>
          </w:tcPr>
          <w:p w14:paraId="15BA106D" w14:textId="77777777" w:rsidR="00392CC6" w:rsidRDefault="00C76AF3">
            <w:pPr>
              <w:pStyle w:val="Compact"/>
              <w:jc w:val="center"/>
            </w:pPr>
            <w:r>
              <w:t>₡</w:t>
            </w:r>
            <w:r>
              <w:t>10,193,555</w:t>
            </w:r>
          </w:p>
        </w:tc>
        <w:tc>
          <w:tcPr>
            <w:tcW w:w="0" w:type="auto"/>
          </w:tcPr>
          <w:p w14:paraId="1E14E657" w14:textId="77777777" w:rsidR="00392CC6" w:rsidRDefault="00C76AF3">
            <w:pPr>
              <w:pStyle w:val="Compact"/>
              <w:jc w:val="center"/>
            </w:pPr>
            <w:r>
              <w:t>₡</w:t>
            </w:r>
            <w:r>
              <w:t>8,793,555</w:t>
            </w:r>
          </w:p>
        </w:tc>
        <w:tc>
          <w:tcPr>
            <w:tcW w:w="0" w:type="auto"/>
          </w:tcPr>
          <w:p w14:paraId="22D55430" w14:textId="77777777" w:rsidR="00392CC6" w:rsidRDefault="00C76AF3">
            <w:pPr>
              <w:pStyle w:val="Compact"/>
              <w:jc w:val="center"/>
            </w:pPr>
            <w:r>
              <w:t>↓ improving</w:t>
            </w:r>
          </w:p>
        </w:tc>
      </w:tr>
      <w:tr w:rsidR="00392CC6" w14:paraId="3B238242" w14:textId="77777777">
        <w:tc>
          <w:tcPr>
            <w:tcW w:w="0" w:type="auto"/>
          </w:tcPr>
          <w:p w14:paraId="6BD14313" w14:textId="77777777" w:rsidR="00392CC6" w:rsidRDefault="00C76AF3">
            <w:pPr>
              <w:pStyle w:val="Compact"/>
            </w:pPr>
            <w:r>
              <w:t>Debt / Total Revenue</w:t>
            </w:r>
          </w:p>
        </w:tc>
        <w:tc>
          <w:tcPr>
            <w:tcW w:w="0" w:type="auto"/>
          </w:tcPr>
          <w:p w14:paraId="56072BC2" w14:textId="77777777" w:rsidR="00392CC6" w:rsidRDefault="00C76AF3">
            <w:pPr>
              <w:pStyle w:val="Compact"/>
              <w:jc w:val="center"/>
            </w:pPr>
            <w:r>
              <w:t>22.6%</w:t>
            </w:r>
          </w:p>
        </w:tc>
        <w:tc>
          <w:tcPr>
            <w:tcW w:w="0" w:type="auto"/>
          </w:tcPr>
          <w:p w14:paraId="6C26950E" w14:textId="77777777" w:rsidR="00392CC6" w:rsidRDefault="00C76AF3">
            <w:pPr>
              <w:pStyle w:val="Compact"/>
              <w:jc w:val="center"/>
            </w:pPr>
            <w:r>
              <w:t>20.2%</w:t>
            </w:r>
          </w:p>
        </w:tc>
        <w:tc>
          <w:tcPr>
            <w:tcW w:w="0" w:type="auto"/>
          </w:tcPr>
          <w:p w14:paraId="1F31234A" w14:textId="77777777" w:rsidR="00392CC6" w:rsidRDefault="00C76AF3">
            <w:pPr>
              <w:pStyle w:val="Compact"/>
              <w:jc w:val="center"/>
            </w:pPr>
            <w:r>
              <w:t>↓ improving</w:t>
            </w:r>
          </w:p>
        </w:tc>
      </w:tr>
      <w:tr w:rsidR="00392CC6" w14:paraId="5D8D6A0D" w14:textId="77777777">
        <w:tc>
          <w:tcPr>
            <w:tcW w:w="0" w:type="auto"/>
          </w:tcPr>
          <w:p w14:paraId="5C48F68A" w14:textId="77777777" w:rsidR="00392CC6" w:rsidRDefault="00C76AF3">
            <w:pPr>
              <w:pStyle w:val="Compact"/>
            </w:pPr>
            <w:r>
              <w:t>Debt / GDP</w:t>
            </w:r>
          </w:p>
        </w:tc>
        <w:tc>
          <w:tcPr>
            <w:tcW w:w="0" w:type="auto"/>
          </w:tcPr>
          <w:p w14:paraId="762700CB" w14:textId="77777777" w:rsidR="00392CC6" w:rsidRDefault="00C76AF3">
            <w:pPr>
              <w:pStyle w:val="Compact"/>
              <w:jc w:val="center"/>
            </w:pPr>
            <w:r>
              <w:t>[pending GDP]</w:t>
            </w:r>
          </w:p>
        </w:tc>
        <w:tc>
          <w:tcPr>
            <w:tcW w:w="0" w:type="auto"/>
          </w:tcPr>
          <w:p w14:paraId="515664D4" w14:textId="77777777" w:rsidR="00392CC6" w:rsidRDefault="00C76AF3">
            <w:pPr>
              <w:pStyle w:val="Compact"/>
              <w:jc w:val="center"/>
            </w:pPr>
            <w:r>
              <w:t>[pending GDP]</w:t>
            </w:r>
          </w:p>
        </w:tc>
        <w:tc>
          <w:tcPr>
            <w:tcW w:w="0" w:type="auto"/>
          </w:tcPr>
          <w:p w14:paraId="7A67073B" w14:textId="77777777" w:rsidR="00392CC6" w:rsidRDefault="00392CC6">
            <w:pPr>
              <w:pStyle w:val="Compact"/>
            </w:pPr>
          </w:p>
        </w:tc>
      </w:tr>
      <w:tr w:rsidR="00392CC6" w14:paraId="48478862" w14:textId="77777777">
        <w:tc>
          <w:tcPr>
            <w:tcW w:w="0" w:type="auto"/>
          </w:tcPr>
          <w:p w14:paraId="152A6C3C" w14:textId="77777777" w:rsidR="00392CC6" w:rsidRDefault="00C76AF3">
            <w:pPr>
              <w:pStyle w:val="Compact"/>
            </w:pPr>
            <w:r>
              <w:t>External Debt / Total Debt</w:t>
            </w:r>
          </w:p>
        </w:tc>
        <w:tc>
          <w:tcPr>
            <w:tcW w:w="0" w:type="auto"/>
          </w:tcPr>
          <w:p w14:paraId="178708C6" w14:textId="77777777" w:rsidR="00392CC6" w:rsidRDefault="00C76AF3">
            <w:pPr>
              <w:pStyle w:val="Compact"/>
              <w:jc w:val="center"/>
            </w:pPr>
            <w:r>
              <w:t>66.7%</w:t>
            </w:r>
          </w:p>
        </w:tc>
        <w:tc>
          <w:tcPr>
            <w:tcW w:w="0" w:type="auto"/>
          </w:tcPr>
          <w:p w14:paraId="326858A4" w14:textId="77777777" w:rsidR="00392CC6" w:rsidRDefault="00C76AF3">
            <w:pPr>
              <w:pStyle w:val="Compact"/>
              <w:jc w:val="center"/>
            </w:pPr>
            <w:r>
              <w:t>66.2%</w:t>
            </w:r>
          </w:p>
        </w:tc>
        <w:tc>
          <w:tcPr>
            <w:tcW w:w="0" w:type="auto"/>
          </w:tcPr>
          <w:p w14:paraId="681D54B5" w14:textId="77777777" w:rsidR="00392CC6" w:rsidRDefault="00C76AF3">
            <w:pPr>
              <w:pStyle w:val="Compact"/>
              <w:jc w:val="center"/>
            </w:pPr>
            <w:r>
              <w:t>→ stable</w:t>
            </w:r>
          </w:p>
        </w:tc>
      </w:tr>
      <w:tr w:rsidR="00392CC6" w14:paraId="64E2E724" w14:textId="77777777">
        <w:tc>
          <w:tcPr>
            <w:tcW w:w="0" w:type="auto"/>
          </w:tcPr>
          <w:p w14:paraId="7B47EF44" w14:textId="77777777" w:rsidR="00392CC6" w:rsidRDefault="00C76AF3">
            <w:pPr>
              <w:pStyle w:val="Compact"/>
            </w:pPr>
            <w:r>
              <w:t>Debt per capita (est., pop. ~2 million)</w:t>
            </w:r>
          </w:p>
        </w:tc>
        <w:tc>
          <w:tcPr>
            <w:tcW w:w="0" w:type="auto"/>
          </w:tcPr>
          <w:p w14:paraId="11B2F17A" w14:textId="77777777" w:rsidR="00392CC6" w:rsidRDefault="00C76AF3">
            <w:pPr>
              <w:pStyle w:val="Compact"/>
              <w:jc w:val="center"/>
            </w:pPr>
            <w:r>
              <w:t>~₡15</w:t>
            </w:r>
          </w:p>
        </w:tc>
        <w:tc>
          <w:tcPr>
            <w:tcW w:w="0" w:type="auto"/>
          </w:tcPr>
          <w:p w14:paraId="18E68CD8" w14:textId="77777777" w:rsidR="00392CC6" w:rsidRDefault="00C76AF3">
            <w:pPr>
              <w:pStyle w:val="Compact"/>
              <w:jc w:val="center"/>
            </w:pPr>
            <w:r>
              <w:t>~₡14</w:t>
            </w:r>
          </w:p>
        </w:tc>
        <w:tc>
          <w:tcPr>
            <w:tcW w:w="0" w:type="auto"/>
          </w:tcPr>
          <w:p w14:paraId="5FB604CC" w14:textId="77777777" w:rsidR="00392CC6" w:rsidRDefault="00C76AF3">
            <w:pPr>
              <w:pStyle w:val="Compact"/>
              <w:jc w:val="center"/>
            </w:pPr>
            <w:r>
              <w:t>↓ improving</w:t>
            </w:r>
          </w:p>
        </w:tc>
      </w:tr>
    </w:tbl>
    <w:p w14:paraId="6FCA3288" w14:textId="77777777" w:rsidR="00392CC6" w:rsidRDefault="00C76AF3">
      <w:pPr>
        <w:pStyle w:val="Heading3"/>
      </w:pPr>
      <w:bookmarkStart w:id="15" w:name="debt-service-indicators"/>
      <w:bookmarkEnd w:id="14"/>
      <w:r>
        <w:t>4.2 Debt Service Indicators</w:t>
      </w:r>
    </w:p>
    <w:tbl>
      <w:tblPr>
        <w:tblStyle w:val="Table"/>
        <w:tblW w:w="5000" w:type="pct"/>
        <w:tblLook w:val="0020" w:firstRow="1" w:lastRow="0" w:firstColumn="0" w:lastColumn="0" w:noHBand="0" w:noVBand="0"/>
      </w:tblPr>
      <w:tblGrid>
        <w:gridCol w:w="3516"/>
        <w:gridCol w:w="1378"/>
        <w:gridCol w:w="2880"/>
        <w:gridCol w:w="1586"/>
      </w:tblGrid>
      <w:tr w:rsidR="00392CC6" w14:paraId="0443B603"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3B017F2C" w14:textId="77777777" w:rsidR="00392CC6" w:rsidRDefault="00C76AF3">
            <w:pPr>
              <w:pStyle w:val="Compact"/>
            </w:pPr>
            <w:r>
              <w:t>Indicator</w:t>
            </w:r>
          </w:p>
        </w:tc>
        <w:tc>
          <w:tcPr>
            <w:tcW w:w="0" w:type="auto"/>
          </w:tcPr>
          <w:p w14:paraId="437886E3" w14:textId="77777777" w:rsidR="00392CC6" w:rsidRDefault="00C76AF3">
            <w:pPr>
              <w:pStyle w:val="Compact"/>
              <w:jc w:val="center"/>
            </w:pPr>
            <w:r>
              <w:t>1952</w:t>
            </w:r>
          </w:p>
        </w:tc>
        <w:tc>
          <w:tcPr>
            <w:tcW w:w="0" w:type="auto"/>
          </w:tcPr>
          <w:p w14:paraId="01DB8C62" w14:textId="77777777" w:rsidR="00392CC6" w:rsidRDefault="00C76AF3">
            <w:pPr>
              <w:pStyle w:val="Compact"/>
              <w:jc w:val="center"/>
            </w:pPr>
            <w:r>
              <w:t>1953</w:t>
            </w:r>
          </w:p>
        </w:tc>
        <w:tc>
          <w:tcPr>
            <w:tcW w:w="0" w:type="auto"/>
          </w:tcPr>
          <w:p w14:paraId="5EA53DE0" w14:textId="77777777" w:rsidR="00392CC6" w:rsidRDefault="00C76AF3">
            <w:pPr>
              <w:pStyle w:val="Compact"/>
              <w:jc w:val="center"/>
            </w:pPr>
            <w:r>
              <w:t>Alert Threshold</w:t>
            </w:r>
          </w:p>
        </w:tc>
      </w:tr>
      <w:tr w:rsidR="00392CC6" w14:paraId="2430B503" w14:textId="77777777">
        <w:tc>
          <w:tcPr>
            <w:tcW w:w="0" w:type="auto"/>
          </w:tcPr>
          <w:p w14:paraId="34AA5055" w14:textId="77777777" w:rsidR="00392CC6" w:rsidRDefault="00C76AF3">
            <w:pPr>
              <w:pStyle w:val="Compact"/>
            </w:pPr>
            <w:r>
              <w:t>Debt Service / Total Expenditure</w:t>
            </w:r>
          </w:p>
        </w:tc>
        <w:tc>
          <w:tcPr>
            <w:tcW w:w="0" w:type="auto"/>
          </w:tcPr>
          <w:p w14:paraId="04D88C0C" w14:textId="77777777" w:rsidR="00392CC6" w:rsidRDefault="00C76AF3">
            <w:pPr>
              <w:pStyle w:val="Compact"/>
              <w:jc w:val="center"/>
            </w:pPr>
            <w:r>
              <w:t>4.6%</w:t>
            </w:r>
          </w:p>
        </w:tc>
        <w:tc>
          <w:tcPr>
            <w:tcW w:w="0" w:type="auto"/>
          </w:tcPr>
          <w:p w14:paraId="0281608F" w14:textId="77777777" w:rsidR="00392CC6" w:rsidRDefault="00C76AF3">
            <w:pPr>
              <w:pStyle w:val="Compact"/>
              <w:jc w:val="center"/>
            </w:pPr>
            <w:r>
              <w:t>4.3%</w:t>
            </w:r>
          </w:p>
        </w:tc>
        <w:tc>
          <w:tcPr>
            <w:tcW w:w="0" w:type="auto"/>
          </w:tcPr>
          <w:p w14:paraId="38620A44" w14:textId="77777777" w:rsidR="00392CC6" w:rsidRDefault="00C76AF3">
            <w:pPr>
              <w:pStyle w:val="Compact"/>
              <w:jc w:val="center"/>
            </w:pPr>
            <w:r>
              <w:t>&gt;15%</w:t>
            </w:r>
          </w:p>
        </w:tc>
      </w:tr>
      <w:tr w:rsidR="00392CC6" w14:paraId="04E7FE4B" w14:textId="77777777">
        <w:tc>
          <w:tcPr>
            <w:tcW w:w="0" w:type="auto"/>
          </w:tcPr>
          <w:p w14:paraId="7B9D0A8E" w14:textId="77777777" w:rsidR="00392CC6" w:rsidRDefault="00C76AF3">
            <w:pPr>
              <w:pStyle w:val="Compact"/>
            </w:pPr>
            <w:r>
              <w:t>Debt Service / Total Revenue</w:t>
            </w:r>
          </w:p>
        </w:tc>
        <w:tc>
          <w:tcPr>
            <w:tcW w:w="0" w:type="auto"/>
          </w:tcPr>
          <w:p w14:paraId="52AADAF4" w14:textId="77777777" w:rsidR="00392CC6" w:rsidRDefault="00C76AF3">
            <w:pPr>
              <w:pStyle w:val="Compact"/>
              <w:jc w:val="center"/>
            </w:pPr>
            <w:r>
              <w:t>3.8%</w:t>
            </w:r>
          </w:p>
        </w:tc>
        <w:tc>
          <w:tcPr>
            <w:tcW w:w="0" w:type="auto"/>
          </w:tcPr>
          <w:p w14:paraId="7F9E95BC" w14:textId="77777777" w:rsidR="00392CC6" w:rsidRDefault="00C76AF3">
            <w:pPr>
              <w:pStyle w:val="Compact"/>
              <w:jc w:val="center"/>
            </w:pPr>
            <w:r>
              <w:t>3.8%</w:t>
            </w:r>
          </w:p>
        </w:tc>
        <w:tc>
          <w:tcPr>
            <w:tcW w:w="0" w:type="auto"/>
          </w:tcPr>
          <w:p w14:paraId="01E33800" w14:textId="77777777" w:rsidR="00392CC6" w:rsidRDefault="00C76AF3">
            <w:pPr>
              <w:pStyle w:val="Compact"/>
              <w:jc w:val="center"/>
            </w:pPr>
            <w:r>
              <w:t>&gt;20%</w:t>
            </w:r>
          </w:p>
        </w:tc>
      </w:tr>
      <w:tr w:rsidR="00392CC6" w14:paraId="4BFA69EE" w14:textId="77777777">
        <w:tc>
          <w:tcPr>
            <w:tcW w:w="0" w:type="auto"/>
          </w:tcPr>
          <w:p w14:paraId="53132FC1" w14:textId="77777777" w:rsidR="00392CC6" w:rsidRDefault="00C76AF3">
            <w:pPr>
              <w:pStyle w:val="Compact"/>
            </w:pPr>
            <w:r>
              <w:t>Interest Payments (1922 loan)</w:t>
            </w:r>
          </w:p>
        </w:tc>
        <w:tc>
          <w:tcPr>
            <w:tcW w:w="0" w:type="auto"/>
          </w:tcPr>
          <w:p w14:paraId="221BEBE7" w14:textId="77777777" w:rsidR="00392CC6" w:rsidRDefault="00C76AF3">
            <w:pPr>
              <w:pStyle w:val="Compact"/>
              <w:jc w:val="center"/>
            </w:pPr>
            <w:r>
              <w:t>₡</w:t>
            </w:r>
            <w:r>
              <w:t>1,200,047</w:t>
            </w:r>
          </w:p>
        </w:tc>
        <w:tc>
          <w:tcPr>
            <w:tcW w:w="0" w:type="auto"/>
          </w:tcPr>
          <w:p w14:paraId="2435BD95" w14:textId="77777777" w:rsidR="00392CC6" w:rsidRDefault="00C76AF3">
            <w:pPr>
              <w:pStyle w:val="Compact"/>
              <w:jc w:val="center"/>
            </w:pPr>
            <w:r>
              <w:t>₡</w:t>
            </w:r>
            <w:r>
              <w:t>1,067,097</w:t>
            </w:r>
          </w:p>
        </w:tc>
        <w:tc>
          <w:tcPr>
            <w:tcW w:w="0" w:type="auto"/>
          </w:tcPr>
          <w:p w14:paraId="3CB6CD9A" w14:textId="77777777" w:rsidR="00392CC6" w:rsidRDefault="00C76AF3">
            <w:pPr>
              <w:pStyle w:val="Compact"/>
              <w:jc w:val="center"/>
            </w:pPr>
            <w:r>
              <w:t>—</w:t>
            </w:r>
          </w:p>
        </w:tc>
      </w:tr>
      <w:tr w:rsidR="00392CC6" w14:paraId="5E0DB328" w14:textId="77777777">
        <w:tc>
          <w:tcPr>
            <w:tcW w:w="0" w:type="auto"/>
          </w:tcPr>
          <w:p w14:paraId="60BEB942" w14:textId="77777777" w:rsidR="00392CC6" w:rsidRDefault="00C76AF3">
            <w:pPr>
              <w:pStyle w:val="Compact"/>
            </w:pPr>
            <w:r>
              <w:t>Implied Interest Rate (interest/avg. debt)</w:t>
            </w:r>
          </w:p>
        </w:tc>
        <w:tc>
          <w:tcPr>
            <w:tcW w:w="0" w:type="auto"/>
          </w:tcPr>
          <w:p w14:paraId="0FD6051A" w14:textId="77777777" w:rsidR="00392CC6" w:rsidRDefault="00C76AF3">
            <w:pPr>
              <w:pStyle w:val="Compact"/>
              <w:jc w:val="center"/>
            </w:pPr>
            <w:r>
              <w:t>~3.6%</w:t>
            </w:r>
          </w:p>
        </w:tc>
        <w:tc>
          <w:tcPr>
            <w:tcW w:w="0" w:type="auto"/>
          </w:tcPr>
          <w:p w14:paraId="208E6E0B" w14:textId="77777777" w:rsidR="00392CC6" w:rsidRDefault="00C76AF3">
            <w:pPr>
              <w:pStyle w:val="Compact"/>
              <w:jc w:val="center"/>
            </w:pPr>
            <w:r>
              <w:t>~3.6%</w:t>
            </w:r>
          </w:p>
        </w:tc>
        <w:tc>
          <w:tcPr>
            <w:tcW w:w="0" w:type="auto"/>
          </w:tcPr>
          <w:p w14:paraId="13206D4C" w14:textId="77777777" w:rsidR="00392CC6" w:rsidRDefault="00C76AF3">
            <w:pPr>
              <w:pStyle w:val="Compact"/>
              <w:jc w:val="center"/>
            </w:pPr>
            <w:r>
              <w:t>—</w:t>
            </w:r>
          </w:p>
        </w:tc>
      </w:tr>
      <w:tr w:rsidR="00392CC6" w14:paraId="5AACD889" w14:textId="77777777">
        <w:tc>
          <w:tcPr>
            <w:tcW w:w="0" w:type="auto"/>
          </w:tcPr>
          <w:p w14:paraId="4E9EE85C" w14:textId="77777777" w:rsidR="00392CC6" w:rsidRDefault="00C76AF3">
            <w:pPr>
              <w:pStyle w:val="Compact"/>
            </w:pPr>
            <w:r>
              <w:t>Amortization (external)</w:t>
            </w:r>
          </w:p>
        </w:tc>
        <w:tc>
          <w:tcPr>
            <w:tcW w:w="0" w:type="auto"/>
          </w:tcPr>
          <w:p w14:paraId="414501AA" w14:textId="77777777" w:rsidR="00392CC6" w:rsidRDefault="00C76AF3">
            <w:pPr>
              <w:pStyle w:val="Compact"/>
              <w:jc w:val="center"/>
            </w:pPr>
            <w:r>
              <w:t>₡</w:t>
            </w:r>
            <w:r>
              <w:t>2,690,975</w:t>
            </w:r>
          </w:p>
        </w:tc>
        <w:tc>
          <w:tcPr>
            <w:tcW w:w="0" w:type="auto"/>
          </w:tcPr>
          <w:p w14:paraId="0F5DB459" w14:textId="77777777" w:rsidR="00392CC6" w:rsidRDefault="00C76AF3">
            <w:pPr>
              <w:pStyle w:val="Compact"/>
              <w:jc w:val="center"/>
            </w:pPr>
            <w:r>
              <w:t>₡</w:t>
            </w:r>
            <w:r>
              <w:t>1,584,434</w:t>
            </w:r>
          </w:p>
        </w:tc>
        <w:tc>
          <w:tcPr>
            <w:tcW w:w="0" w:type="auto"/>
          </w:tcPr>
          <w:p w14:paraId="18DC68CA" w14:textId="77777777" w:rsidR="00392CC6" w:rsidRDefault="00C76AF3">
            <w:pPr>
              <w:pStyle w:val="Compact"/>
              <w:jc w:val="center"/>
            </w:pPr>
            <w:r>
              <w:t>—</w:t>
            </w:r>
          </w:p>
        </w:tc>
      </w:tr>
      <w:tr w:rsidR="00392CC6" w14:paraId="7CAEA71C" w14:textId="77777777">
        <w:tc>
          <w:tcPr>
            <w:tcW w:w="0" w:type="auto"/>
          </w:tcPr>
          <w:p w14:paraId="33FBE0BA" w14:textId="77777777" w:rsidR="00392CC6" w:rsidRDefault="00C76AF3">
            <w:pPr>
              <w:pStyle w:val="Compact"/>
            </w:pPr>
            <w:r>
              <w:t>Amortization (internal)</w:t>
            </w:r>
          </w:p>
        </w:tc>
        <w:tc>
          <w:tcPr>
            <w:tcW w:w="0" w:type="auto"/>
          </w:tcPr>
          <w:p w14:paraId="60E91B0E" w14:textId="77777777" w:rsidR="00392CC6" w:rsidRDefault="00C76AF3">
            <w:pPr>
              <w:pStyle w:val="Compact"/>
              <w:jc w:val="center"/>
            </w:pPr>
            <w:r>
              <w:t>—</w:t>
            </w:r>
          </w:p>
        </w:tc>
        <w:tc>
          <w:tcPr>
            <w:tcW w:w="0" w:type="auto"/>
          </w:tcPr>
          <w:p w14:paraId="69BFDFF8" w14:textId="77777777" w:rsidR="00392CC6" w:rsidRDefault="00C76AF3">
            <w:pPr>
              <w:pStyle w:val="Compact"/>
              <w:jc w:val="center"/>
            </w:pPr>
            <w:r>
              <w:t>₡</w:t>
            </w:r>
            <w:r>
              <w:t>2,000,000</w:t>
            </w:r>
          </w:p>
        </w:tc>
        <w:tc>
          <w:tcPr>
            <w:tcW w:w="0" w:type="auto"/>
          </w:tcPr>
          <w:p w14:paraId="01001EEA" w14:textId="77777777" w:rsidR="00392CC6" w:rsidRDefault="00C76AF3">
            <w:pPr>
              <w:pStyle w:val="Compact"/>
              <w:jc w:val="center"/>
            </w:pPr>
            <w:r>
              <w:t>—</w:t>
            </w:r>
          </w:p>
        </w:tc>
      </w:tr>
      <w:tr w:rsidR="00392CC6" w14:paraId="31CB6642" w14:textId="77777777">
        <w:tc>
          <w:tcPr>
            <w:tcW w:w="0" w:type="auto"/>
          </w:tcPr>
          <w:p w14:paraId="534DCE8A" w14:textId="77777777" w:rsidR="00392CC6" w:rsidRDefault="00C76AF3">
            <w:pPr>
              <w:pStyle w:val="Compact"/>
            </w:pPr>
            <w:r>
              <w:t>Total Amortization</w:t>
            </w:r>
          </w:p>
        </w:tc>
        <w:tc>
          <w:tcPr>
            <w:tcW w:w="0" w:type="auto"/>
          </w:tcPr>
          <w:p w14:paraId="6AF962C4" w14:textId="77777777" w:rsidR="00392CC6" w:rsidRDefault="00C76AF3">
            <w:pPr>
              <w:pStyle w:val="Compact"/>
              <w:jc w:val="center"/>
            </w:pPr>
            <w:r>
              <w:t>₡</w:t>
            </w:r>
            <w:r>
              <w:t>2,690,975</w:t>
            </w:r>
          </w:p>
        </w:tc>
        <w:tc>
          <w:tcPr>
            <w:tcW w:w="0" w:type="auto"/>
          </w:tcPr>
          <w:p w14:paraId="7C4EE2D9" w14:textId="77777777" w:rsidR="00392CC6" w:rsidRDefault="00C76AF3">
            <w:pPr>
              <w:pStyle w:val="Compact"/>
              <w:jc w:val="center"/>
            </w:pPr>
            <w:r>
              <w:t>₡</w:t>
            </w:r>
            <w:r>
              <w:t>3,584,434</w:t>
            </w:r>
          </w:p>
        </w:tc>
        <w:tc>
          <w:tcPr>
            <w:tcW w:w="0" w:type="auto"/>
          </w:tcPr>
          <w:p w14:paraId="7961A387" w14:textId="77777777" w:rsidR="00392CC6" w:rsidRDefault="00C76AF3">
            <w:pPr>
              <w:pStyle w:val="Compact"/>
              <w:jc w:val="center"/>
            </w:pPr>
            <w:r>
              <w:t>—</w:t>
            </w:r>
          </w:p>
        </w:tc>
      </w:tr>
      <w:tr w:rsidR="00392CC6" w14:paraId="4B2403AB" w14:textId="77777777">
        <w:tc>
          <w:tcPr>
            <w:tcW w:w="0" w:type="auto"/>
          </w:tcPr>
          <w:p w14:paraId="631EC153" w14:textId="77777777" w:rsidR="00392CC6" w:rsidRDefault="00C76AF3">
            <w:pPr>
              <w:pStyle w:val="Compact"/>
            </w:pPr>
            <w:r>
              <w:t>Net Borrowing (new debt minus amortization)</w:t>
            </w:r>
          </w:p>
        </w:tc>
        <w:tc>
          <w:tcPr>
            <w:tcW w:w="0" w:type="auto"/>
          </w:tcPr>
          <w:p w14:paraId="2DEB74B4" w14:textId="77777777" w:rsidR="00392CC6" w:rsidRDefault="00C76AF3">
            <w:pPr>
              <w:pStyle w:val="Compact"/>
              <w:jc w:val="center"/>
            </w:pPr>
            <w:r>
              <w:t>~negative</w:t>
            </w:r>
          </w:p>
        </w:tc>
        <w:tc>
          <w:tcPr>
            <w:tcW w:w="0" w:type="auto"/>
          </w:tcPr>
          <w:p w14:paraId="3CE8F847" w14:textId="77777777" w:rsidR="00392CC6" w:rsidRDefault="00C76AF3">
            <w:pPr>
              <w:pStyle w:val="Compact"/>
              <w:jc w:val="center"/>
            </w:pPr>
            <w:r>
              <w:t>₡</w:t>
            </w:r>
            <w:r>
              <w:t xml:space="preserve">600,000 - ₡3.58M = </w:t>
            </w:r>
            <w:r>
              <w:rPr>
                <w:b/>
                <w:bCs/>
              </w:rPr>
              <w:t>net repayment</w:t>
            </w:r>
          </w:p>
        </w:tc>
        <w:tc>
          <w:tcPr>
            <w:tcW w:w="0" w:type="auto"/>
          </w:tcPr>
          <w:p w14:paraId="5089A24B" w14:textId="77777777" w:rsidR="00392CC6" w:rsidRDefault="00C76AF3">
            <w:pPr>
              <w:pStyle w:val="Compact"/>
              <w:jc w:val="center"/>
            </w:pPr>
            <w:r>
              <w:t>—</w:t>
            </w:r>
          </w:p>
        </w:tc>
      </w:tr>
    </w:tbl>
    <w:p w14:paraId="3FAD8A97" w14:textId="77777777" w:rsidR="00392CC6" w:rsidRDefault="00C76AF3">
      <w:pPr>
        <w:pStyle w:val="Heading3"/>
      </w:pPr>
      <w:bookmarkStart w:id="16" w:name="debt-dynamics-assessment"/>
      <w:bookmarkEnd w:id="15"/>
      <w:r>
        <w:t>4.3 Debt Dynamics Assessment</w:t>
      </w:r>
    </w:p>
    <w:p w14:paraId="7FAAAA07" w14:textId="77777777" w:rsidR="00392CC6" w:rsidRDefault="00C76AF3">
      <w:pPr>
        <w:pStyle w:val="FirstParagraph"/>
      </w:pPr>
      <w:r>
        <w:t xml:space="preserve">The debt trajectory in 1952–53 was </w:t>
      </w:r>
      <w:r>
        <w:rPr>
          <w:b/>
          <w:bCs/>
        </w:rPr>
        <w:t>unambiguously favorable</w:t>
      </w:r>
      <w:r>
        <w:t>:</w:t>
      </w:r>
    </w:p>
    <w:p w14:paraId="5149D351" w14:textId="77777777" w:rsidR="00392CC6" w:rsidRDefault="00C76AF3">
      <w:pPr>
        <w:pStyle w:val="Compact"/>
        <w:numPr>
          <w:ilvl w:val="0"/>
          <w:numId w:val="3"/>
        </w:numPr>
      </w:pPr>
      <w:r>
        <w:rPr>
          <w:b/>
          <w:bCs/>
        </w:rPr>
        <w:t>The stock was declining</w:t>
      </w:r>
      <w:r>
        <w:t xml:space="preserve"> </w:t>
      </w:r>
      <w:r>
        <w:t>in absolute terms (₡30.6M → ₡28.4M), meaning amortization exceeded new borrowing.</w:t>
      </w:r>
    </w:p>
    <w:p w14:paraId="183C9F2C" w14:textId="77777777" w:rsidR="00392CC6" w:rsidRDefault="00C76AF3">
      <w:pPr>
        <w:pStyle w:val="Compact"/>
        <w:numPr>
          <w:ilvl w:val="0"/>
          <w:numId w:val="3"/>
        </w:numPr>
      </w:pPr>
      <w:r>
        <w:rPr>
          <w:b/>
          <w:bCs/>
        </w:rPr>
        <w:t>The debt-to-revenue ratio was falling</w:t>
      </w:r>
      <w:r>
        <w:t xml:space="preserve"> (22.6% → 20.2%), meaning revenue growth was outpacing any net debt accumulation.</w:t>
      </w:r>
    </w:p>
    <w:p w14:paraId="68B31F2B" w14:textId="77777777" w:rsidR="00392CC6" w:rsidRDefault="00C76AF3">
      <w:pPr>
        <w:pStyle w:val="Compact"/>
        <w:numPr>
          <w:ilvl w:val="0"/>
          <w:numId w:val="3"/>
        </w:numPr>
      </w:pPr>
      <w:r>
        <w:rPr>
          <w:b/>
          <w:bCs/>
        </w:rPr>
        <w:t>The implied interest rate (~3.6%)</w:t>
      </w:r>
      <w:r>
        <w:t xml:space="preserve"> was well below the revenue growth rate (~10% in 1953), satisfying the fundamental condition for debt sustainability: </w:t>
      </w:r>
      <w:r>
        <w:rPr>
          <w:b/>
          <w:bCs/>
        </w:rPr>
        <w:t>r &lt; g</w:t>
      </w:r>
      <w:r>
        <w:t>.</w:t>
      </w:r>
    </w:p>
    <w:p w14:paraId="3ABF99B3" w14:textId="77777777" w:rsidR="00392CC6" w:rsidRDefault="00C76AF3">
      <w:pPr>
        <w:pStyle w:val="Compact"/>
        <w:numPr>
          <w:ilvl w:val="0"/>
          <w:numId w:val="3"/>
        </w:numPr>
      </w:pPr>
      <w:r>
        <w:rPr>
          <w:b/>
          <w:bCs/>
        </w:rPr>
        <w:t>Debt service was modest</w:t>
      </w:r>
      <w:r>
        <w:t xml:space="preserve"> </w:t>
      </w:r>
      <w:r>
        <w:t>at under 5% of expenditure and under 4% of revenue, well below standard alert thresholds.</w:t>
      </w:r>
    </w:p>
    <w:p w14:paraId="63784323" w14:textId="77777777" w:rsidR="00392CC6" w:rsidRDefault="00C76AF3">
      <w:pPr>
        <w:pStyle w:val="Heading3"/>
      </w:pPr>
      <w:bookmarkStart w:id="17" w:name="debt-concentration-risk"/>
      <w:bookmarkEnd w:id="16"/>
      <w:r>
        <w:t>4.4 Debt Concentration Risk</w:t>
      </w:r>
    </w:p>
    <w:tbl>
      <w:tblPr>
        <w:tblStyle w:val="Table"/>
        <w:tblW w:w="5000" w:type="pct"/>
        <w:tblLook w:val="0020" w:firstRow="1" w:lastRow="0" w:firstColumn="0" w:lastColumn="0" w:noHBand="0" w:noVBand="0"/>
      </w:tblPr>
      <w:tblGrid>
        <w:gridCol w:w="3427"/>
        <w:gridCol w:w="2983"/>
        <w:gridCol w:w="2950"/>
      </w:tblGrid>
      <w:tr w:rsidR="00392CC6" w14:paraId="2370B437"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17B49120" w14:textId="77777777" w:rsidR="00392CC6" w:rsidRDefault="00C76AF3">
            <w:pPr>
              <w:pStyle w:val="Compact"/>
            </w:pPr>
            <w:r>
              <w:t>Instrument</w:t>
            </w:r>
          </w:p>
        </w:tc>
        <w:tc>
          <w:tcPr>
            <w:tcW w:w="0" w:type="auto"/>
          </w:tcPr>
          <w:p w14:paraId="05303253" w14:textId="77777777" w:rsidR="00392CC6" w:rsidRDefault="00C76AF3">
            <w:pPr>
              <w:pStyle w:val="Compact"/>
              <w:jc w:val="center"/>
            </w:pPr>
            <w:r>
              <w:t>Share of Total Debt (1953)</w:t>
            </w:r>
          </w:p>
        </w:tc>
        <w:tc>
          <w:tcPr>
            <w:tcW w:w="0" w:type="auto"/>
          </w:tcPr>
          <w:p w14:paraId="25074863" w14:textId="77777777" w:rsidR="00392CC6" w:rsidRDefault="00C76AF3">
            <w:pPr>
              <w:pStyle w:val="Compact"/>
            </w:pPr>
            <w:r>
              <w:t>Risk Factor</w:t>
            </w:r>
          </w:p>
        </w:tc>
      </w:tr>
      <w:tr w:rsidR="00392CC6" w14:paraId="5A98C39A" w14:textId="77777777">
        <w:tc>
          <w:tcPr>
            <w:tcW w:w="0" w:type="auto"/>
          </w:tcPr>
          <w:p w14:paraId="35BE68F0" w14:textId="77777777" w:rsidR="00392CC6" w:rsidRDefault="00C76AF3">
            <w:pPr>
              <w:pStyle w:val="Compact"/>
            </w:pPr>
            <w:r>
              <w:t>Empréstito Nacional 1922</w:t>
            </w:r>
          </w:p>
        </w:tc>
        <w:tc>
          <w:tcPr>
            <w:tcW w:w="0" w:type="auto"/>
          </w:tcPr>
          <w:p w14:paraId="64CC998D" w14:textId="77777777" w:rsidR="00392CC6" w:rsidRDefault="00C76AF3">
            <w:pPr>
              <w:pStyle w:val="Compact"/>
              <w:jc w:val="center"/>
            </w:pPr>
            <w:r>
              <w:t>62.3%</w:t>
            </w:r>
          </w:p>
        </w:tc>
        <w:tc>
          <w:tcPr>
            <w:tcW w:w="0" w:type="auto"/>
          </w:tcPr>
          <w:p w14:paraId="182B9250" w14:textId="77777777" w:rsidR="00392CC6" w:rsidRDefault="00C76AF3">
            <w:pPr>
              <w:pStyle w:val="Compact"/>
            </w:pPr>
            <w:r>
              <w:t>Legacy, declining, external</w:t>
            </w:r>
          </w:p>
        </w:tc>
      </w:tr>
      <w:tr w:rsidR="00392CC6" w14:paraId="3257EB03" w14:textId="77777777">
        <w:tc>
          <w:tcPr>
            <w:tcW w:w="0" w:type="auto"/>
          </w:tcPr>
          <w:p w14:paraId="3194E228" w14:textId="77777777" w:rsidR="00392CC6" w:rsidRDefault="00C76AF3">
            <w:pPr>
              <w:pStyle w:val="Compact"/>
            </w:pPr>
            <w:r>
              <w:t>Empréstito Aprovisionamiento</w:t>
            </w:r>
          </w:p>
        </w:tc>
        <w:tc>
          <w:tcPr>
            <w:tcW w:w="0" w:type="auto"/>
          </w:tcPr>
          <w:p w14:paraId="37B4F1FF" w14:textId="77777777" w:rsidR="00392CC6" w:rsidRDefault="00C76AF3">
            <w:pPr>
              <w:pStyle w:val="Compact"/>
              <w:jc w:val="center"/>
            </w:pPr>
            <w:r>
              <w:t>14.1%</w:t>
            </w:r>
          </w:p>
        </w:tc>
        <w:tc>
          <w:tcPr>
            <w:tcW w:w="0" w:type="auto"/>
          </w:tcPr>
          <w:p w14:paraId="33B498D5" w14:textId="77777777" w:rsidR="00392CC6" w:rsidRDefault="00C76AF3">
            <w:pPr>
              <w:pStyle w:val="Compact"/>
            </w:pPr>
            <w:r>
              <w:t>Eximbank, amortizing</w:t>
            </w:r>
          </w:p>
        </w:tc>
      </w:tr>
      <w:tr w:rsidR="00392CC6" w14:paraId="5964E27E" w14:textId="77777777">
        <w:tc>
          <w:tcPr>
            <w:tcW w:w="0" w:type="auto"/>
          </w:tcPr>
          <w:p w14:paraId="71DF9E70" w14:textId="77777777" w:rsidR="00392CC6" w:rsidRDefault="00C76AF3">
            <w:pPr>
              <w:pStyle w:val="Compact"/>
            </w:pPr>
            <w:r>
              <w:t>Letras del Tesoro 5%</w:t>
            </w:r>
          </w:p>
        </w:tc>
        <w:tc>
          <w:tcPr>
            <w:tcW w:w="0" w:type="auto"/>
          </w:tcPr>
          <w:p w14:paraId="2ACE326A" w14:textId="77777777" w:rsidR="00392CC6" w:rsidRDefault="00C76AF3">
            <w:pPr>
              <w:pStyle w:val="Compact"/>
              <w:jc w:val="center"/>
            </w:pPr>
            <w:r>
              <w:t>14.1%</w:t>
            </w:r>
          </w:p>
        </w:tc>
        <w:tc>
          <w:tcPr>
            <w:tcW w:w="0" w:type="auto"/>
          </w:tcPr>
          <w:p w14:paraId="4370CC92" w14:textId="77777777" w:rsidR="00392CC6" w:rsidRDefault="00C76AF3">
            <w:pPr>
              <w:pStyle w:val="Compact"/>
            </w:pPr>
            <w:r>
              <w:t>Domestic, short-term risk</w:t>
            </w:r>
          </w:p>
        </w:tc>
      </w:tr>
      <w:tr w:rsidR="00392CC6" w14:paraId="161EA9A9" w14:textId="77777777">
        <w:tc>
          <w:tcPr>
            <w:tcW w:w="0" w:type="auto"/>
          </w:tcPr>
          <w:p w14:paraId="0E51D35E" w14:textId="77777777" w:rsidR="00392CC6" w:rsidRDefault="00C76AF3">
            <w:pPr>
              <w:pStyle w:val="Compact"/>
            </w:pPr>
            <w:r>
              <w:t>Other (roads, port, fiscal)</w:t>
            </w:r>
          </w:p>
        </w:tc>
        <w:tc>
          <w:tcPr>
            <w:tcW w:w="0" w:type="auto"/>
          </w:tcPr>
          <w:p w14:paraId="74267D95" w14:textId="77777777" w:rsidR="00392CC6" w:rsidRDefault="00C76AF3">
            <w:pPr>
              <w:pStyle w:val="Compact"/>
              <w:jc w:val="center"/>
            </w:pPr>
            <w:r>
              <w:t>9.5%</w:t>
            </w:r>
          </w:p>
        </w:tc>
        <w:tc>
          <w:tcPr>
            <w:tcW w:w="0" w:type="auto"/>
          </w:tcPr>
          <w:p w14:paraId="03ACC56D" w14:textId="77777777" w:rsidR="00392CC6" w:rsidRDefault="00C76AF3">
            <w:pPr>
              <w:pStyle w:val="Compact"/>
            </w:pPr>
            <w:r>
              <w:t>Project-specific</w:t>
            </w:r>
          </w:p>
        </w:tc>
      </w:tr>
    </w:tbl>
    <w:p w14:paraId="315F81AD" w14:textId="77777777" w:rsidR="00392CC6" w:rsidRDefault="00C76AF3">
      <w:pPr>
        <w:pStyle w:val="BodyText"/>
      </w:pPr>
      <w:r>
        <w:rPr>
          <w:b/>
          <w:bCs/>
        </w:rPr>
        <w:t>Assessment:</w:t>
      </w:r>
      <w:r>
        <w:t xml:space="preserve"> </w:t>
      </w:r>
      <w:r>
        <w:t>The debt portfolio was concentrated in a single legacy instrument (the 1922 loan), which while being retired, still represented nearly two-thirds of total obligations. The Letras del Tesoro (5% Treasury Letters) at ₡4 million represent potential rollover risk, as short-term instruments require periodic renewal. However, at 14% of total debt and under 3% of annual revenue, this was manageable.</w:t>
      </w:r>
    </w:p>
    <w:p w14:paraId="37FE960D" w14:textId="77777777" w:rsidR="00392CC6" w:rsidRDefault="00C76AF3">
      <w:pPr>
        <w:pStyle w:val="Heading3"/>
      </w:pPr>
      <w:bookmarkStart w:id="18" w:name="fiscal-space-estimate"/>
      <w:bookmarkEnd w:id="17"/>
      <w:r>
        <w:t>4.5 Fiscal Space Estimate</w:t>
      </w:r>
    </w:p>
    <w:p w14:paraId="3CCF4026" w14:textId="77777777" w:rsidR="00392CC6" w:rsidRDefault="00C76AF3">
      <w:pPr>
        <w:pStyle w:val="FirstParagraph"/>
      </w:pPr>
      <w:r>
        <w:t xml:space="preserve">Given the modest debt burden, we can estimate the government’s </w:t>
      </w:r>
      <w:r>
        <w:rPr>
          <w:b/>
          <w:bCs/>
        </w:rPr>
        <w:t>theoretical borrowing capacity</w:t>
      </w:r>
      <w:r>
        <w:t xml:space="preserve"> — the additional debt it could take on before reaching standard distress thresholds:</w:t>
      </w:r>
    </w:p>
    <w:tbl>
      <w:tblPr>
        <w:tblStyle w:val="Table"/>
        <w:tblW w:w="5000" w:type="pct"/>
        <w:tblLook w:val="0020" w:firstRow="1" w:lastRow="0" w:firstColumn="0" w:lastColumn="0" w:noHBand="0" w:noVBand="0"/>
      </w:tblPr>
      <w:tblGrid>
        <w:gridCol w:w="3541"/>
        <w:gridCol w:w="2132"/>
        <w:gridCol w:w="1519"/>
        <w:gridCol w:w="2168"/>
      </w:tblGrid>
      <w:tr w:rsidR="00392CC6" w14:paraId="2EEC3C1B"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75DCB9F5" w14:textId="77777777" w:rsidR="00392CC6" w:rsidRDefault="00C76AF3">
            <w:pPr>
              <w:pStyle w:val="Compact"/>
            </w:pPr>
            <w:r>
              <w:t>Scenario</w:t>
            </w:r>
          </w:p>
        </w:tc>
        <w:tc>
          <w:tcPr>
            <w:tcW w:w="0" w:type="auto"/>
          </w:tcPr>
          <w:p w14:paraId="2FD6E923" w14:textId="77777777" w:rsidR="00392CC6" w:rsidRDefault="00C76AF3">
            <w:pPr>
              <w:pStyle w:val="Compact"/>
              <w:jc w:val="center"/>
            </w:pPr>
            <w:r>
              <w:t>Current (1953)</w:t>
            </w:r>
          </w:p>
        </w:tc>
        <w:tc>
          <w:tcPr>
            <w:tcW w:w="0" w:type="auto"/>
          </w:tcPr>
          <w:p w14:paraId="62BAA460" w14:textId="77777777" w:rsidR="00392CC6" w:rsidRDefault="00C76AF3">
            <w:pPr>
              <w:pStyle w:val="Compact"/>
              <w:jc w:val="center"/>
            </w:pPr>
            <w:r>
              <w:t>Threshold</w:t>
            </w:r>
          </w:p>
        </w:tc>
        <w:tc>
          <w:tcPr>
            <w:tcW w:w="0" w:type="auto"/>
          </w:tcPr>
          <w:p w14:paraId="2D40EDB6" w14:textId="77777777" w:rsidR="00392CC6" w:rsidRDefault="00C76AF3">
            <w:pPr>
              <w:pStyle w:val="Compact"/>
              <w:jc w:val="center"/>
            </w:pPr>
            <w:r>
              <w:t>Available Space</w:t>
            </w:r>
          </w:p>
        </w:tc>
      </w:tr>
      <w:tr w:rsidR="00392CC6" w14:paraId="143355A3" w14:textId="77777777">
        <w:tc>
          <w:tcPr>
            <w:tcW w:w="0" w:type="auto"/>
          </w:tcPr>
          <w:p w14:paraId="37CA9B3F" w14:textId="77777777" w:rsidR="00392CC6" w:rsidRDefault="00C76AF3">
            <w:pPr>
              <w:pStyle w:val="Compact"/>
            </w:pPr>
            <w:r>
              <w:t>Debt service / expenditure</w:t>
            </w:r>
          </w:p>
        </w:tc>
        <w:tc>
          <w:tcPr>
            <w:tcW w:w="0" w:type="auto"/>
          </w:tcPr>
          <w:p w14:paraId="72B285A4" w14:textId="77777777" w:rsidR="00392CC6" w:rsidRDefault="00C76AF3">
            <w:pPr>
              <w:pStyle w:val="Compact"/>
              <w:jc w:val="center"/>
            </w:pPr>
            <w:r>
              <w:t>4.3%</w:t>
            </w:r>
          </w:p>
        </w:tc>
        <w:tc>
          <w:tcPr>
            <w:tcW w:w="0" w:type="auto"/>
          </w:tcPr>
          <w:p w14:paraId="45BDE8E7" w14:textId="77777777" w:rsidR="00392CC6" w:rsidRDefault="00C76AF3">
            <w:pPr>
              <w:pStyle w:val="Compact"/>
              <w:jc w:val="center"/>
            </w:pPr>
            <w:r>
              <w:t>15%</w:t>
            </w:r>
          </w:p>
        </w:tc>
        <w:tc>
          <w:tcPr>
            <w:tcW w:w="0" w:type="auto"/>
          </w:tcPr>
          <w:p w14:paraId="219CB75E" w14:textId="77777777" w:rsidR="00392CC6" w:rsidRDefault="00C76AF3">
            <w:pPr>
              <w:pStyle w:val="Compact"/>
              <w:jc w:val="center"/>
            </w:pPr>
            <w:r>
              <w:t>₡</w:t>
            </w:r>
            <w:r>
              <w:t>13.3 million*</w:t>
            </w:r>
          </w:p>
        </w:tc>
      </w:tr>
      <w:tr w:rsidR="00392CC6" w14:paraId="2EA550E5" w14:textId="77777777">
        <w:tc>
          <w:tcPr>
            <w:tcW w:w="0" w:type="auto"/>
          </w:tcPr>
          <w:p w14:paraId="10690271" w14:textId="77777777" w:rsidR="00392CC6" w:rsidRDefault="00C76AF3">
            <w:pPr>
              <w:pStyle w:val="Compact"/>
            </w:pPr>
            <w:r>
              <w:t>Debt service / revenue</w:t>
            </w:r>
          </w:p>
        </w:tc>
        <w:tc>
          <w:tcPr>
            <w:tcW w:w="0" w:type="auto"/>
          </w:tcPr>
          <w:p w14:paraId="278F73AE" w14:textId="77777777" w:rsidR="00392CC6" w:rsidRDefault="00C76AF3">
            <w:pPr>
              <w:pStyle w:val="Compact"/>
              <w:jc w:val="center"/>
            </w:pPr>
            <w:r>
              <w:t>3.8%</w:t>
            </w:r>
          </w:p>
        </w:tc>
        <w:tc>
          <w:tcPr>
            <w:tcW w:w="0" w:type="auto"/>
          </w:tcPr>
          <w:p w14:paraId="4555B0C1" w14:textId="77777777" w:rsidR="00392CC6" w:rsidRDefault="00C76AF3">
            <w:pPr>
              <w:pStyle w:val="Compact"/>
              <w:jc w:val="center"/>
            </w:pPr>
            <w:r>
              <w:t>20%</w:t>
            </w:r>
          </w:p>
        </w:tc>
        <w:tc>
          <w:tcPr>
            <w:tcW w:w="0" w:type="auto"/>
          </w:tcPr>
          <w:p w14:paraId="036AAE17" w14:textId="77777777" w:rsidR="00392CC6" w:rsidRDefault="00C76AF3">
            <w:pPr>
              <w:pStyle w:val="Compact"/>
              <w:jc w:val="center"/>
            </w:pPr>
            <w:r>
              <w:t>₡</w:t>
            </w:r>
            <w:r>
              <w:t>22.7 million*</w:t>
            </w:r>
          </w:p>
        </w:tc>
      </w:tr>
      <w:tr w:rsidR="00392CC6" w14:paraId="31563CDB" w14:textId="77777777">
        <w:tc>
          <w:tcPr>
            <w:tcW w:w="0" w:type="auto"/>
          </w:tcPr>
          <w:p w14:paraId="171D1EEF" w14:textId="77777777" w:rsidR="00392CC6" w:rsidRDefault="00C76AF3">
            <w:pPr>
              <w:pStyle w:val="Compact"/>
            </w:pPr>
            <w:r>
              <w:t>Debt / revenue</w:t>
            </w:r>
          </w:p>
        </w:tc>
        <w:tc>
          <w:tcPr>
            <w:tcW w:w="0" w:type="auto"/>
          </w:tcPr>
          <w:p w14:paraId="53388413" w14:textId="77777777" w:rsidR="00392CC6" w:rsidRDefault="00C76AF3">
            <w:pPr>
              <w:pStyle w:val="Compact"/>
              <w:jc w:val="center"/>
            </w:pPr>
            <w:r>
              <w:t>20.2%</w:t>
            </w:r>
          </w:p>
        </w:tc>
        <w:tc>
          <w:tcPr>
            <w:tcW w:w="0" w:type="auto"/>
          </w:tcPr>
          <w:p w14:paraId="3A2FB128" w14:textId="77777777" w:rsidR="00392CC6" w:rsidRDefault="00C76AF3">
            <w:pPr>
              <w:pStyle w:val="Compact"/>
              <w:jc w:val="center"/>
            </w:pPr>
            <w:r>
              <w:t>60%</w:t>
            </w:r>
          </w:p>
        </w:tc>
        <w:tc>
          <w:tcPr>
            <w:tcW w:w="0" w:type="auto"/>
          </w:tcPr>
          <w:p w14:paraId="52AC26B8" w14:textId="77777777" w:rsidR="00392CC6" w:rsidRDefault="00C76AF3">
            <w:pPr>
              <w:pStyle w:val="Compact"/>
              <w:jc w:val="center"/>
            </w:pPr>
            <w:r>
              <w:t>₡</w:t>
            </w:r>
            <w:r>
              <w:t>55.8 million</w:t>
            </w:r>
          </w:p>
        </w:tc>
      </w:tr>
    </w:tbl>
    <w:p w14:paraId="5469797F" w14:textId="77777777" w:rsidR="00392CC6" w:rsidRDefault="00C76AF3">
      <w:pPr>
        <w:pStyle w:val="BodyText"/>
      </w:pPr>
      <w:r>
        <w:t>*Assumes new borrowing at 5% interest with 15-year amortization.</w:t>
      </w:r>
    </w:p>
    <w:p w14:paraId="6D66D21A" w14:textId="77777777" w:rsidR="00392CC6" w:rsidRDefault="00C76AF3">
      <w:pPr>
        <w:pStyle w:val="BodyText"/>
      </w:pPr>
      <w:r>
        <w:rPr>
          <w:b/>
          <w:bCs/>
        </w:rPr>
        <w:t>Interpretation:</w:t>
      </w:r>
      <w:r>
        <w:t xml:space="preserve"> The government had substantial fiscal space for additional borrowing — potentially doubling or tripling its debt stock before approaching conventional distress thresholds. This fiscal space would become relevant as the development program expanded in subsequent years, particularly for infrastructure projects (roads, ports, hydroelectric power) that would require external financing.</w:t>
      </w:r>
    </w:p>
    <w:p w14:paraId="1C972EE7" w14:textId="77777777" w:rsidR="00392CC6" w:rsidRDefault="00C76AF3">
      <w:r>
        <w:pict w14:anchorId="5859ABE1">
          <v:rect id="_x0000_i1030" style="width:0;height:1.5pt" o:hralign="center" o:hrstd="t" o:hr="t"/>
        </w:pict>
      </w:r>
    </w:p>
    <w:p w14:paraId="6EEF0658" w14:textId="77777777" w:rsidR="00392CC6" w:rsidRDefault="00C76AF3">
      <w:pPr>
        <w:pStyle w:val="Heading2"/>
      </w:pPr>
      <w:bookmarkStart w:id="19" w:name="the-dual-budget-problem"/>
      <w:bookmarkEnd w:id="13"/>
      <w:bookmarkEnd w:id="18"/>
      <w:r>
        <w:t>5. The Dual-Budget Problem</w:t>
      </w:r>
    </w:p>
    <w:p w14:paraId="62D3412C" w14:textId="77777777" w:rsidR="00392CC6" w:rsidRDefault="00C76AF3">
      <w:pPr>
        <w:pStyle w:val="Heading3"/>
      </w:pPr>
      <w:bookmarkStart w:id="20" w:name="consolidated-fiscal-position"/>
      <w:r>
        <w:t>5.1 Consolidated Fiscal Position</w:t>
      </w:r>
    </w:p>
    <w:p w14:paraId="5D7821B4" w14:textId="77777777" w:rsidR="00392CC6" w:rsidRDefault="00C76AF3">
      <w:pPr>
        <w:pStyle w:val="FirstParagraph"/>
      </w:pPr>
      <w:r>
        <w:t>The headline surplus of the General Fund does not capture the government’s full fiscal footprint. The extraordinary budgets and special funds represent additional spending and borrowing not reflected in the headline numbers:</w:t>
      </w:r>
    </w:p>
    <w:tbl>
      <w:tblPr>
        <w:tblStyle w:val="Table"/>
        <w:tblW w:w="5000" w:type="pct"/>
        <w:tblLook w:val="0020" w:firstRow="1" w:lastRow="0" w:firstColumn="0" w:lastColumn="0" w:noHBand="0" w:noVBand="0"/>
      </w:tblPr>
      <w:tblGrid>
        <w:gridCol w:w="5274"/>
        <w:gridCol w:w="2113"/>
        <w:gridCol w:w="1973"/>
      </w:tblGrid>
      <w:tr w:rsidR="00392CC6" w14:paraId="4F834EF2"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64B1E5BB" w14:textId="77777777" w:rsidR="00392CC6" w:rsidRDefault="00C76AF3">
            <w:pPr>
              <w:pStyle w:val="Compact"/>
            </w:pPr>
            <w:r>
              <w:t>Component</w:t>
            </w:r>
          </w:p>
        </w:tc>
        <w:tc>
          <w:tcPr>
            <w:tcW w:w="0" w:type="auto"/>
          </w:tcPr>
          <w:p w14:paraId="17C733FE" w14:textId="77777777" w:rsidR="00392CC6" w:rsidRDefault="00C76AF3">
            <w:pPr>
              <w:pStyle w:val="Compact"/>
              <w:jc w:val="center"/>
            </w:pPr>
            <w:r>
              <w:t>1952</w:t>
            </w:r>
          </w:p>
        </w:tc>
        <w:tc>
          <w:tcPr>
            <w:tcW w:w="0" w:type="auto"/>
          </w:tcPr>
          <w:p w14:paraId="502250D1" w14:textId="77777777" w:rsidR="00392CC6" w:rsidRDefault="00C76AF3">
            <w:pPr>
              <w:pStyle w:val="Compact"/>
              <w:jc w:val="center"/>
            </w:pPr>
            <w:r>
              <w:t>1953</w:t>
            </w:r>
          </w:p>
        </w:tc>
      </w:tr>
      <w:tr w:rsidR="00392CC6" w14:paraId="32DE340C" w14:textId="77777777">
        <w:tc>
          <w:tcPr>
            <w:tcW w:w="0" w:type="auto"/>
          </w:tcPr>
          <w:p w14:paraId="7B787EC4" w14:textId="77777777" w:rsidR="00392CC6" w:rsidRDefault="00C76AF3">
            <w:pPr>
              <w:pStyle w:val="Compact"/>
            </w:pPr>
            <w:r>
              <w:t>General Fund Expenditure</w:t>
            </w:r>
          </w:p>
        </w:tc>
        <w:tc>
          <w:tcPr>
            <w:tcW w:w="0" w:type="auto"/>
          </w:tcPr>
          <w:p w14:paraId="58A411C6" w14:textId="77777777" w:rsidR="00392CC6" w:rsidRDefault="00C76AF3">
            <w:pPr>
              <w:pStyle w:val="Compact"/>
              <w:jc w:val="center"/>
            </w:pPr>
            <w:r>
              <w:t>₡</w:t>
            </w:r>
            <w:r>
              <w:t>112,074,041</w:t>
            </w:r>
          </w:p>
        </w:tc>
        <w:tc>
          <w:tcPr>
            <w:tcW w:w="0" w:type="auto"/>
          </w:tcPr>
          <w:p w14:paraId="294ABA6A" w14:textId="77777777" w:rsidR="00392CC6" w:rsidRDefault="00C76AF3">
            <w:pPr>
              <w:pStyle w:val="Compact"/>
              <w:jc w:val="center"/>
            </w:pPr>
            <w:r>
              <w:t>₡</w:t>
            </w:r>
            <w:r>
              <w:t>124,053,563</w:t>
            </w:r>
          </w:p>
        </w:tc>
      </w:tr>
      <w:tr w:rsidR="00392CC6" w14:paraId="5270C9D7" w14:textId="77777777">
        <w:tc>
          <w:tcPr>
            <w:tcW w:w="0" w:type="auto"/>
          </w:tcPr>
          <w:p w14:paraId="117F8B67" w14:textId="77777777" w:rsidR="00392CC6" w:rsidRDefault="00C76AF3">
            <w:pPr>
              <w:pStyle w:val="Compact"/>
            </w:pPr>
            <w:r>
              <w:t>Empréstito Aprovisionamiento (utilized)</w:t>
            </w:r>
          </w:p>
        </w:tc>
        <w:tc>
          <w:tcPr>
            <w:tcW w:w="0" w:type="auto"/>
          </w:tcPr>
          <w:p w14:paraId="65139621" w14:textId="77777777" w:rsidR="00392CC6" w:rsidRDefault="00C76AF3">
            <w:pPr>
              <w:pStyle w:val="Compact"/>
              <w:jc w:val="center"/>
            </w:pPr>
            <w:r>
              <w:t>[in progress]</w:t>
            </w:r>
          </w:p>
        </w:tc>
        <w:tc>
          <w:tcPr>
            <w:tcW w:w="0" w:type="auto"/>
          </w:tcPr>
          <w:p w14:paraId="3B73542B" w14:textId="77777777" w:rsidR="00392CC6" w:rsidRDefault="00C76AF3">
            <w:pPr>
              <w:pStyle w:val="Compact"/>
              <w:jc w:val="center"/>
            </w:pPr>
            <w:r>
              <w:t>₡</w:t>
            </w:r>
            <w:r>
              <w:t>9,262,224</w:t>
            </w:r>
          </w:p>
        </w:tc>
      </w:tr>
      <w:tr w:rsidR="00392CC6" w14:paraId="1A870F5D" w14:textId="77777777">
        <w:tc>
          <w:tcPr>
            <w:tcW w:w="0" w:type="auto"/>
          </w:tcPr>
          <w:p w14:paraId="4BFC1D3D" w14:textId="77777777" w:rsidR="00392CC6" w:rsidRDefault="00C76AF3">
            <w:pPr>
              <w:pStyle w:val="Compact"/>
            </w:pPr>
            <w:r>
              <w:t>Valle de La Esperanza (utilized)</w:t>
            </w:r>
          </w:p>
        </w:tc>
        <w:tc>
          <w:tcPr>
            <w:tcW w:w="0" w:type="auto"/>
          </w:tcPr>
          <w:p w14:paraId="21FA88BA" w14:textId="77777777" w:rsidR="00392CC6" w:rsidRDefault="00C76AF3">
            <w:pPr>
              <w:pStyle w:val="Compact"/>
              <w:jc w:val="center"/>
            </w:pPr>
            <w:r>
              <w:t>[not yet active]</w:t>
            </w:r>
          </w:p>
        </w:tc>
        <w:tc>
          <w:tcPr>
            <w:tcW w:w="0" w:type="auto"/>
          </w:tcPr>
          <w:p w14:paraId="235BF9B3" w14:textId="77777777" w:rsidR="00392CC6" w:rsidRDefault="00C76AF3">
            <w:pPr>
              <w:pStyle w:val="Compact"/>
              <w:jc w:val="center"/>
            </w:pPr>
            <w:r>
              <w:t>₡</w:t>
            </w:r>
            <w:r>
              <w:t>292,921</w:t>
            </w:r>
          </w:p>
        </w:tc>
      </w:tr>
      <w:tr w:rsidR="00392CC6" w14:paraId="3CD77ACC" w14:textId="77777777">
        <w:tc>
          <w:tcPr>
            <w:tcW w:w="0" w:type="auto"/>
          </w:tcPr>
          <w:p w14:paraId="4A651343" w14:textId="77777777" w:rsidR="00392CC6" w:rsidRDefault="00C76AF3">
            <w:pPr>
              <w:pStyle w:val="Compact"/>
            </w:pPr>
            <w:r>
              <w:t>Proveeduría General (utilized)</w:t>
            </w:r>
          </w:p>
        </w:tc>
        <w:tc>
          <w:tcPr>
            <w:tcW w:w="0" w:type="auto"/>
          </w:tcPr>
          <w:p w14:paraId="22A0DF30" w14:textId="77777777" w:rsidR="00392CC6" w:rsidRDefault="00C76AF3">
            <w:pPr>
              <w:pStyle w:val="Compact"/>
              <w:jc w:val="center"/>
            </w:pPr>
            <w:r>
              <w:t>—</w:t>
            </w:r>
          </w:p>
        </w:tc>
        <w:tc>
          <w:tcPr>
            <w:tcW w:w="0" w:type="auto"/>
          </w:tcPr>
          <w:p w14:paraId="109EF2DB" w14:textId="77777777" w:rsidR="00392CC6" w:rsidRDefault="00C76AF3">
            <w:pPr>
              <w:pStyle w:val="Compact"/>
              <w:jc w:val="center"/>
            </w:pPr>
            <w:r>
              <w:t>₡</w:t>
            </w:r>
            <w:r>
              <w:t>383,969</w:t>
            </w:r>
          </w:p>
        </w:tc>
      </w:tr>
      <w:tr w:rsidR="00392CC6" w14:paraId="4826A8FA" w14:textId="77777777">
        <w:tc>
          <w:tcPr>
            <w:tcW w:w="0" w:type="auto"/>
          </w:tcPr>
          <w:p w14:paraId="318EC9A3" w14:textId="77777777" w:rsidR="00392CC6" w:rsidRDefault="00C76AF3">
            <w:pPr>
              <w:pStyle w:val="Compact"/>
            </w:pPr>
            <w:r>
              <w:t>Muelle de Acajutla (utilized)</w:t>
            </w:r>
          </w:p>
        </w:tc>
        <w:tc>
          <w:tcPr>
            <w:tcW w:w="0" w:type="auto"/>
          </w:tcPr>
          <w:p w14:paraId="4DDA50C6" w14:textId="77777777" w:rsidR="00392CC6" w:rsidRDefault="00C76AF3">
            <w:pPr>
              <w:pStyle w:val="Compact"/>
              <w:jc w:val="center"/>
            </w:pPr>
            <w:r>
              <w:t>—</w:t>
            </w:r>
          </w:p>
        </w:tc>
        <w:tc>
          <w:tcPr>
            <w:tcW w:w="0" w:type="auto"/>
          </w:tcPr>
          <w:p w14:paraId="4B599E9C" w14:textId="77777777" w:rsidR="00392CC6" w:rsidRDefault="00C76AF3">
            <w:pPr>
              <w:pStyle w:val="Compact"/>
              <w:jc w:val="center"/>
            </w:pPr>
            <w:r>
              <w:t>₡</w:t>
            </w:r>
            <w:r>
              <w:t>998,308</w:t>
            </w:r>
          </w:p>
        </w:tc>
      </w:tr>
      <w:tr w:rsidR="00392CC6" w14:paraId="19511F6C" w14:textId="77777777">
        <w:tc>
          <w:tcPr>
            <w:tcW w:w="0" w:type="auto"/>
          </w:tcPr>
          <w:p w14:paraId="0E2D64A7" w14:textId="77777777" w:rsidR="00392CC6" w:rsidRDefault="00C76AF3">
            <w:pPr>
              <w:pStyle w:val="Compact"/>
            </w:pPr>
            <w:r>
              <w:rPr>
                <w:b/>
                <w:bCs/>
              </w:rPr>
              <w:t>Estimated Consolidated Expenditure</w:t>
            </w:r>
          </w:p>
        </w:tc>
        <w:tc>
          <w:tcPr>
            <w:tcW w:w="0" w:type="auto"/>
          </w:tcPr>
          <w:p w14:paraId="7E7B085F" w14:textId="77777777" w:rsidR="00392CC6" w:rsidRDefault="00C76AF3">
            <w:pPr>
              <w:pStyle w:val="Compact"/>
              <w:jc w:val="center"/>
            </w:pPr>
            <w:r>
              <w:t>—</w:t>
            </w:r>
          </w:p>
        </w:tc>
        <w:tc>
          <w:tcPr>
            <w:tcW w:w="0" w:type="auto"/>
          </w:tcPr>
          <w:p w14:paraId="50FD1D12" w14:textId="77777777" w:rsidR="00392CC6" w:rsidRDefault="00C76AF3">
            <w:pPr>
              <w:pStyle w:val="Compact"/>
              <w:jc w:val="center"/>
            </w:pPr>
            <w:r>
              <w:rPr>
                <w:b/>
                <w:bCs/>
              </w:rPr>
              <w:t>~₡135.0M</w:t>
            </w:r>
          </w:p>
        </w:tc>
      </w:tr>
      <w:tr w:rsidR="00392CC6" w14:paraId="57F18555" w14:textId="77777777">
        <w:tc>
          <w:tcPr>
            <w:tcW w:w="0" w:type="auto"/>
          </w:tcPr>
          <w:p w14:paraId="582F2A94" w14:textId="77777777" w:rsidR="00392CC6" w:rsidRDefault="00C76AF3">
            <w:pPr>
              <w:pStyle w:val="Compact"/>
            </w:pPr>
            <w:r>
              <w:rPr>
                <w:b/>
                <w:bCs/>
              </w:rPr>
              <w:t>Consolidated Expenditure / Revenue</w:t>
            </w:r>
          </w:p>
        </w:tc>
        <w:tc>
          <w:tcPr>
            <w:tcW w:w="0" w:type="auto"/>
          </w:tcPr>
          <w:p w14:paraId="24816063" w14:textId="77777777" w:rsidR="00392CC6" w:rsidRDefault="00C76AF3">
            <w:pPr>
              <w:pStyle w:val="Compact"/>
              <w:jc w:val="center"/>
            </w:pPr>
            <w:r>
              <w:t>—</w:t>
            </w:r>
          </w:p>
        </w:tc>
        <w:tc>
          <w:tcPr>
            <w:tcW w:w="0" w:type="auto"/>
          </w:tcPr>
          <w:p w14:paraId="125B69AB" w14:textId="77777777" w:rsidR="00392CC6" w:rsidRDefault="00C76AF3">
            <w:pPr>
              <w:pStyle w:val="Compact"/>
              <w:jc w:val="center"/>
            </w:pPr>
            <w:r>
              <w:rPr>
                <w:b/>
                <w:bCs/>
              </w:rPr>
              <w:t>~96%</w:t>
            </w:r>
          </w:p>
        </w:tc>
      </w:tr>
    </w:tbl>
    <w:p w14:paraId="67950144" w14:textId="77777777" w:rsidR="00392CC6" w:rsidRDefault="00C76AF3">
      <w:pPr>
        <w:pStyle w:val="BodyText"/>
      </w:pPr>
      <w:r>
        <w:rPr>
          <w:b/>
          <w:bCs/>
        </w:rPr>
        <w:t>Assessment:</w:t>
      </w:r>
      <w:r>
        <w:t xml:space="preserve"> </w:t>
      </w:r>
      <w:r>
        <w:t>When extraordinary fund spending is consolidated with the General Fund, the apparent headline surplus of ₡16.2 million shrinks to approximately ₡5.3 million — still a surplus, but a much thinner cushion. More importantly, several of the extraordinary funds (particularly the Valle de La Esperanza) had authorized spending envelopes far larger than 1953 disbursements, meaning committed future expenditure was building up off the headline balance sheet.</w:t>
      </w:r>
    </w:p>
    <w:p w14:paraId="5A5E836A" w14:textId="77777777" w:rsidR="00392CC6" w:rsidRDefault="00C76AF3">
      <w:pPr>
        <w:pStyle w:val="Heading3"/>
      </w:pPr>
      <w:bookmarkStart w:id="21" w:name="contingent-liabilities"/>
      <w:bookmarkEnd w:id="20"/>
      <w:r>
        <w:t>5.2 Contingent Liabilities</w:t>
      </w:r>
    </w:p>
    <w:tbl>
      <w:tblPr>
        <w:tblStyle w:val="Table"/>
        <w:tblW w:w="5000" w:type="pct"/>
        <w:tblLook w:val="0020" w:firstRow="1" w:lastRow="0" w:firstColumn="0" w:lastColumn="0" w:noHBand="0" w:noVBand="0"/>
      </w:tblPr>
      <w:tblGrid>
        <w:gridCol w:w="3219"/>
        <w:gridCol w:w="2140"/>
        <w:gridCol w:w="2490"/>
        <w:gridCol w:w="1511"/>
      </w:tblGrid>
      <w:tr w:rsidR="00392CC6" w14:paraId="292587C7"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76E4610E" w14:textId="77777777" w:rsidR="00392CC6" w:rsidRDefault="00C76AF3">
            <w:pPr>
              <w:pStyle w:val="Compact"/>
            </w:pPr>
            <w:r>
              <w:t>Commitment</w:t>
            </w:r>
          </w:p>
        </w:tc>
        <w:tc>
          <w:tcPr>
            <w:tcW w:w="0" w:type="auto"/>
          </w:tcPr>
          <w:p w14:paraId="326C5757" w14:textId="77777777" w:rsidR="00392CC6" w:rsidRDefault="00C76AF3">
            <w:pPr>
              <w:pStyle w:val="Compact"/>
              <w:jc w:val="center"/>
            </w:pPr>
            <w:r>
              <w:t>Authorized Amount</w:t>
            </w:r>
          </w:p>
        </w:tc>
        <w:tc>
          <w:tcPr>
            <w:tcW w:w="0" w:type="auto"/>
          </w:tcPr>
          <w:p w14:paraId="015F64D3" w14:textId="77777777" w:rsidR="00392CC6" w:rsidRDefault="00C76AF3">
            <w:pPr>
              <w:pStyle w:val="Compact"/>
              <w:jc w:val="center"/>
            </w:pPr>
            <w:r>
              <w:t>Disbursed (end-1953)</w:t>
            </w:r>
          </w:p>
        </w:tc>
        <w:tc>
          <w:tcPr>
            <w:tcW w:w="0" w:type="auto"/>
          </w:tcPr>
          <w:p w14:paraId="43AB9951" w14:textId="77777777" w:rsidR="00392CC6" w:rsidRDefault="00C76AF3">
            <w:pPr>
              <w:pStyle w:val="Compact"/>
              <w:jc w:val="center"/>
            </w:pPr>
            <w:r>
              <w:t>Outstanding</w:t>
            </w:r>
          </w:p>
        </w:tc>
      </w:tr>
      <w:tr w:rsidR="00392CC6" w14:paraId="18FA6E84" w14:textId="77777777">
        <w:tc>
          <w:tcPr>
            <w:tcW w:w="0" w:type="auto"/>
          </w:tcPr>
          <w:p w14:paraId="1FD6A9F2" w14:textId="77777777" w:rsidR="00392CC6" w:rsidRDefault="00C76AF3">
            <w:pPr>
              <w:pStyle w:val="Compact"/>
            </w:pPr>
            <w:r>
              <w:t>Valle de La Esperanza bonds</w:t>
            </w:r>
          </w:p>
        </w:tc>
        <w:tc>
          <w:tcPr>
            <w:tcW w:w="0" w:type="auto"/>
          </w:tcPr>
          <w:p w14:paraId="09427BCA" w14:textId="77777777" w:rsidR="00392CC6" w:rsidRDefault="00C76AF3">
            <w:pPr>
              <w:pStyle w:val="Compact"/>
              <w:jc w:val="center"/>
            </w:pPr>
            <w:r>
              <w:t>₡</w:t>
            </w:r>
            <w:r>
              <w:t>11,150,000</w:t>
            </w:r>
          </w:p>
        </w:tc>
        <w:tc>
          <w:tcPr>
            <w:tcW w:w="0" w:type="auto"/>
          </w:tcPr>
          <w:p w14:paraId="5693A3D0" w14:textId="77777777" w:rsidR="00392CC6" w:rsidRDefault="00C76AF3">
            <w:pPr>
              <w:pStyle w:val="Compact"/>
              <w:jc w:val="center"/>
            </w:pPr>
            <w:r>
              <w:t>₡</w:t>
            </w:r>
            <w:r>
              <w:t>292,921</w:t>
            </w:r>
          </w:p>
        </w:tc>
        <w:tc>
          <w:tcPr>
            <w:tcW w:w="0" w:type="auto"/>
          </w:tcPr>
          <w:p w14:paraId="79003B93" w14:textId="77777777" w:rsidR="00392CC6" w:rsidRDefault="00C76AF3">
            <w:pPr>
              <w:pStyle w:val="Compact"/>
              <w:jc w:val="center"/>
            </w:pPr>
            <w:r>
              <w:t>₡</w:t>
            </w:r>
            <w:r>
              <w:t>10,857,079</w:t>
            </w:r>
          </w:p>
        </w:tc>
      </w:tr>
      <w:tr w:rsidR="00392CC6" w14:paraId="602C33F9" w14:textId="77777777">
        <w:tc>
          <w:tcPr>
            <w:tcW w:w="0" w:type="auto"/>
          </w:tcPr>
          <w:p w14:paraId="5A6E7805" w14:textId="77777777" w:rsidR="00392CC6" w:rsidRDefault="00C76AF3">
            <w:pPr>
              <w:pStyle w:val="Compact"/>
            </w:pPr>
            <w:r>
              <w:t>Empréstito Aprovisionamiento</w:t>
            </w:r>
          </w:p>
        </w:tc>
        <w:tc>
          <w:tcPr>
            <w:tcW w:w="0" w:type="auto"/>
          </w:tcPr>
          <w:p w14:paraId="5AFF4F40" w14:textId="77777777" w:rsidR="00392CC6" w:rsidRDefault="00C76AF3">
            <w:pPr>
              <w:pStyle w:val="Compact"/>
              <w:jc w:val="center"/>
            </w:pPr>
            <w:r>
              <w:t>₡</w:t>
            </w:r>
            <w:r>
              <w:t>6,000,000 (orig.)</w:t>
            </w:r>
          </w:p>
        </w:tc>
        <w:tc>
          <w:tcPr>
            <w:tcW w:w="0" w:type="auto"/>
          </w:tcPr>
          <w:p w14:paraId="0F90389F" w14:textId="77777777" w:rsidR="00392CC6" w:rsidRDefault="00C76AF3">
            <w:pPr>
              <w:pStyle w:val="Compact"/>
              <w:jc w:val="center"/>
            </w:pPr>
            <w:r>
              <w:t>₡</w:t>
            </w:r>
            <w:r>
              <w:t>4,000,000 outstanding</w:t>
            </w:r>
          </w:p>
        </w:tc>
        <w:tc>
          <w:tcPr>
            <w:tcW w:w="0" w:type="auto"/>
          </w:tcPr>
          <w:p w14:paraId="2AD8F498" w14:textId="77777777" w:rsidR="00392CC6" w:rsidRDefault="00C76AF3">
            <w:pPr>
              <w:pStyle w:val="Compact"/>
              <w:jc w:val="center"/>
            </w:pPr>
            <w:r>
              <w:t>amortizing</w:t>
            </w:r>
          </w:p>
        </w:tc>
      </w:tr>
      <w:tr w:rsidR="00392CC6" w14:paraId="2D2D514D" w14:textId="77777777">
        <w:tc>
          <w:tcPr>
            <w:tcW w:w="0" w:type="auto"/>
          </w:tcPr>
          <w:p w14:paraId="1AD2BF9C" w14:textId="77777777" w:rsidR="00392CC6" w:rsidRDefault="00C76AF3">
            <w:pPr>
              <w:pStyle w:val="Compact"/>
            </w:pPr>
            <w:r>
              <w:t>Muelle de Acajutla</w:t>
            </w:r>
          </w:p>
        </w:tc>
        <w:tc>
          <w:tcPr>
            <w:tcW w:w="0" w:type="auto"/>
          </w:tcPr>
          <w:p w14:paraId="220D8995" w14:textId="77777777" w:rsidR="00392CC6" w:rsidRDefault="00C76AF3">
            <w:pPr>
              <w:pStyle w:val="Compact"/>
              <w:jc w:val="center"/>
            </w:pPr>
            <w:r>
              <w:t>[operating fund]</w:t>
            </w:r>
          </w:p>
        </w:tc>
        <w:tc>
          <w:tcPr>
            <w:tcW w:w="0" w:type="auto"/>
          </w:tcPr>
          <w:p w14:paraId="7C63DEA9" w14:textId="77777777" w:rsidR="00392CC6" w:rsidRDefault="00C76AF3">
            <w:pPr>
              <w:pStyle w:val="Compact"/>
              <w:jc w:val="center"/>
            </w:pPr>
            <w:r>
              <w:t>ongoing</w:t>
            </w:r>
          </w:p>
        </w:tc>
        <w:tc>
          <w:tcPr>
            <w:tcW w:w="0" w:type="auto"/>
          </w:tcPr>
          <w:p w14:paraId="1E61E8D1" w14:textId="77777777" w:rsidR="00392CC6" w:rsidRDefault="00C76AF3">
            <w:pPr>
              <w:pStyle w:val="Compact"/>
              <w:jc w:val="center"/>
            </w:pPr>
            <w:r>
              <w:t>—</w:t>
            </w:r>
          </w:p>
        </w:tc>
      </w:tr>
    </w:tbl>
    <w:p w14:paraId="3E94B35E" w14:textId="77777777" w:rsidR="00392CC6" w:rsidRDefault="00C76AF3">
      <w:pPr>
        <w:pStyle w:val="BodyText"/>
      </w:pPr>
      <w:r>
        <w:t>The Valle de La Esperanza authorization alone represented nearly 40% of the existing debt stock — a major contingent liability that, once drawn down, would substantially alter the government’s debt profile.</w:t>
      </w:r>
    </w:p>
    <w:p w14:paraId="69B1E00F" w14:textId="77777777" w:rsidR="00392CC6" w:rsidRDefault="00C76AF3">
      <w:r>
        <w:pict w14:anchorId="0323B1C8">
          <v:rect id="_x0000_i1031" style="width:0;height:1.5pt" o:hralign="center" o:hrstd="t" o:hr="t"/>
        </w:pict>
      </w:r>
    </w:p>
    <w:p w14:paraId="67ED8127" w14:textId="77777777" w:rsidR="00392CC6" w:rsidRDefault="00C76AF3">
      <w:pPr>
        <w:pStyle w:val="Heading2"/>
      </w:pPr>
      <w:bookmarkStart w:id="22" w:name="vulnerability-matrix"/>
      <w:bookmarkEnd w:id="19"/>
      <w:bookmarkEnd w:id="21"/>
      <w:r>
        <w:t>6. Vulnerability Matrix</w:t>
      </w:r>
    </w:p>
    <w:tbl>
      <w:tblPr>
        <w:tblStyle w:val="Table"/>
        <w:tblW w:w="5000" w:type="pct"/>
        <w:tblLook w:val="0020" w:firstRow="1" w:lastRow="0" w:firstColumn="0" w:lastColumn="0" w:noHBand="0" w:noVBand="0"/>
      </w:tblPr>
      <w:tblGrid>
        <w:gridCol w:w="2308"/>
        <w:gridCol w:w="1445"/>
        <w:gridCol w:w="1643"/>
        <w:gridCol w:w="1378"/>
        <w:gridCol w:w="2586"/>
      </w:tblGrid>
      <w:tr w:rsidR="00392CC6" w14:paraId="29CB3A95"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1D80AFFA" w14:textId="77777777" w:rsidR="00392CC6" w:rsidRDefault="00C76AF3">
            <w:pPr>
              <w:pStyle w:val="Compact"/>
            </w:pPr>
            <w:r>
              <w:t>Risk Factor</w:t>
            </w:r>
          </w:p>
        </w:tc>
        <w:tc>
          <w:tcPr>
            <w:tcW w:w="0" w:type="auto"/>
          </w:tcPr>
          <w:p w14:paraId="6CEBD87E" w14:textId="77777777" w:rsidR="00392CC6" w:rsidRDefault="00C76AF3">
            <w:pPr>
              <w:pStyle w:val="Compact"/>
              <w:jc w:val="center"/>
            </w:pPr>
            <w:r>
              <w:t>Severity</w:t>
            </w:r>
          </w:p>
        </w:tc>
        <w:tc>
          <w:tcPr>
            <w:tcW w:w="0" w:type="auto"/>
          </w:tcPr>
          <w:p w14:paraId="2EDD4F56" w14:textId="77777777" w:rsidR="00392CC6" w:rsidRDefault="00C76AF3">
            <w:pPr>
              <w:pStyle w:val="Compact"/>
              <w:jc w:val="center"/>
            </w:pPr>
            <w:r>
              <w:t>Probability</w:t>
            </w:r>
          </w:p>
        </w:tc>
        <w:tc>
          <w:tcPr>
            <w:tcW w:w="0" w:type="auto"/>
          </w:tcPr>
          <w:p w14:paraId="7B396FEE" w14:textId="77777777" w:rsidR="00392CC6" w:rsidRDefault="00C76AF3">
            <w:pPr>
              <w:pStyle w:val="Compact"/>
              <w:jc w:val="center"/>
            </w:pPr>
            <w:r>
              <w:t>Trend</w:t>
            </w:r>
          </w:p>
        </w:tc>
        <w:tc>
          <w:tcPr>
            <w:tcW w:w="0" w:type="auto"/>
          </w:tcPr>
          <w:p w14:paraId="6587E78F" w14:textId="77777777" w:rsidR="00392CC6" w:rsidRDefault="00C76AF3">
            <w:pPr>
              <w:pStyle w:val="Compact"/>
            </w:pPr>
            <w:r>
              <w:t>Mitigation</w:t>
            </w:r>
          </w:p>
        </w:tc>
      </w:tr>
      <w:tr w:rsidR="00392CC6" w14:paraId="389B7E3D" w14:textId="77777777">
        <w:tc>
          <w:tcPr>
            <w:tcW w:w="0" w:type="auto"/>
          </w:tcPr>
          <w:p w14:paraId="7493339A" w14:textId="77777777" w:rsidR="00392CC6" w:rsidRDefault="00C76AF3">
            <w:pPr>
              <w:pStyle w:val="Compact"/>
            </w:pPr>
            <w:r>
              <w:t>Coffee price shock</w:t>
            </w:r>
          </w:p>
        </w:tc>
        <w:tc>
          <w:tcPr>
            <w:tcW w:w="0" w:type="auto"/>
          </w:tcPr>
          <w:p w14:paraId="4E2F941B" w14:textId="77777777" w:rsidR="00392CC6" w:rsidRDefault="00C76AF3">
            <w:pPr>
              <w:pStyle w:val="Compact"/>
              <w:jc w:val="center"/>
            </w:pPr>
            <w:r>
              <w:t>HIGH</w:t>
            </w:r>
          </w:p>
        </w:tc>
        <w:tc>
          <w:tcPr>
            <w:tcW w:w="0" w:type="auto"/>
          </w:tcPr>
          <w:p w14:paraId="12519EB6" w14:textId="77777777" w:rsidR="00392CC6" w:rsidRDefault="00C76AF3">
            <w:pPr>
              <w:pStyle w:val="Compact"/>
              <w:jc w:val="center"/>
            </w:pPr>
            <w:r>
              <w:t>MODERATE</w:t>
            </w:r>
          </w:p>
        </w:tc>
        <w:tc>
          <w:tcPr>
            <w:tcW w:w="0" w:type="auto"/>
          </w:tcPr>
          <w:p w14:paraId="604269DB" w14:textId="77777777" w:rsidR="00392CC6" w:rsidRDefault="00C76AF3">
            <w:pPr>
              <w:pStyle w:val="Compact"/>
              <w:jc w:val="center"/>
            </w:pPr>
            <w:r>
              <w:t>→ cyclical</w:t>
            </w:r>
          </w:p>
        </w:tc>
        <w:tc>
          <w:tcPr>
            <w:tcW w:w="0" w:type="auto"/>
          </w:tcPr>
          <w:p w14:paraId="6EE3EA2C" w14:textId="77777777" w:rsidR="00392CC6" w:rsidRDefault="00C76AF3">
            <w:pPr>
              <w:pStyle w:val="Compact"/>
            </w:pPr>
            <w:r>
              <w:t>None identified; no stabilization fund</w:t>
            </w:r>
          </w:p>
        </w:tc>
      </w:tr>
      <w:tr w:rsidR="00392CC6" w14:paraId="25130D07" w14:textId="77777777">
        <w:tc>
          <w:tcPr>
            <w:tcW w:w="0" w:type="auto"/>
          </w:tcPr>
          <w:p w14:paraId="4046C580" w14:textId="77777777" w:rsidR="00392CC6" w:rsidRDefault="00C76AF3">
            <w:pPr>
              <w:pStyle w:val="Compact"/>
            </w:pPr>
            <w:r>
              <w:t>Revenue concentration</w:t>
            </w:r>
          </w:p>
        </w:tc>
        <w:tc>
          <w:tcPr>
            <w:tcW w:w="0" w:type="auto"/>
          </w:tcPr>
          <w:p w14:paraId="76138315" w14:textId="77777777" w:rsidR="00392CC6" w:rsidRDefault="00C76AF3">
            <w:pPr>
              <w:pStyle w:val="Compact"/>
              <w:jc w:val="center"/>
            </w:pPr>
            <w:r>
              <w:t>HIGH</w:t>
            </w:r>
          </w:p>
        </w:tc>
        <w:tc>
          <w:tcPr>
            <w:tcW w:w="0" w:type="auto"/>
          </w:tcPr>
          <w:p w14:paraId="6598B6AF" w14:textId="77777777" w:rsidR="00392CC6" w:rsidRDefault="00C76AF3">
            <w:pPr>
              <w:pStyle w:val="Compact"/>
              <w:jc w:val="center"/>
            </w:pPr>
            <w:r>
              <w:t>STRUCTURAL</w:t>
            </w:r>
          </w:p>
        </w:tc>
        <w:tc>
          <w:tcPr>
            <w:tcW w:w="0" w:type="auto"/>
          </w:tcPr>
          <w:p w14:paraId="2EA553BB" w14:textId="77777777" w:rsidR="00392CC6" w:rsidRDefault="00C76AF3">
            <w:pPr>
              <w:pStyle w:val="Compact"/>
              <w:jc w:val="center"/>
            </w:pPr>
            <w:r>
              <w:t>→ persistent</w:t>
            </w:r>
          </w:p>
        </w:tc>
        <w:tc>
          <w:tcPr>
            <w:tcW w:w="0" w:type="auto"/>
          </w:tcPr>
          <w:p w14:paraId="178A05F4" w14:textId="77777777" w:rsidR="00392CC6" w:rsidRDefault="00C76AF3">
            <w:pPr>
              <w:pStyle w:val="Compact"/>
            </w:pPr>
            <w:r>
              <w:t>Minimal direct tax base to fall back on</w:t>
            </w:r>
          </w:p>
        </w:tc>
      </w:tr>
      <w:tr w:rsidR="00392CC6" w14:paraId="3FAD677F" w14:textId="77777777">
        <w:tc>
          <w:tcPr>
            <w:tcW w:w="0" w:type="auto"/>
          </w:tcPr>
          <w:p w14:paraId="66E77F89" w14:textId="77777777" w:rsidR="00392CC6" w:rsidRDefault="00C76AF3">
            <w:pPr>
              <w:pStyle w:val="Compact"/>
            </w:pPr>
            <w:r>
              <w:t>Wage bill rigidity</w:t>
            </w:r>
          </w:p>
        </w:tc>
        <w:tc>
          <w:tcPr>
            <w:tcW w:w="0" w:type="auto"/>
          </w:tcPr>
          <w:p w14:paraId="5A149B3C" w14:textId="77777777" w:rsidR="00392CC6" w:rsidRDefault="00C76AF3">
            <w:pPr>
              <w:pStyle w:val="Compact"/>
              <w:jc w:val="center"/>
            </w:pPr>
            <w:r>
              <w:t>MODERATE</w:t>
            </w:r>
          </w:p>
        </w:tc>
        <w:tc>
          <w:tcPr>
            <w:tcW w:w="0" w:type="auto"/>
          </w:tcPr>
          <w:p w14:paraId="63943F49" w14:textId="77777777" w:rsidR="00392CC6" w:rsidRDefault="00C76AF3">
            <w:pPr>
              <w:pStyle w:val="Compact"/>
              <w:jc w:val="center"/>
            </w:pPr>
            <w:r>
              <w:t>HIGH</w:t>
            </w:r>
          </w:p>
        </w:tc>
        <w:tc>
          <w:tcPr>
            <w:tcW w:w="0" w:type="auto"/>
          </w:tcPr>
          <w:p w14:paraId="494CC257" w14:textId="77777777" w:rsidR="00392CC6" w:rsidRDefault="00C76AF3">
            <w:pPr>
              <w:pStyle w:val="Compact"/>
              <w:jc w:val="center"/>
            </w:pPr>
            <w:r>
              <w:t>↑ rising</w:t>
            </w:r>
          </w:p>
        </w:tc>
        <w:tc>
          <w:tcPr>
            <w:tcW w:w="0" w:type="auto"/>
          </w:tcPr>
          <w:p w14:paraId="20C84FE2" w14:textId="77777777" w:rsidR="00392CC6" w:rsidRDefault="00C76AF3">
            <w:pPr>
              <w:pStyle w:val="Compact"/>
            </w:pPr>
            <w:r>
              <w:t>Quota system provides some control</w:t>
            </w:r>
          </w:p>
        </w:tc>
      </w:tr>
      <w:tr w:rsidR="00392CC6" w14:paraId="4B6D12E1" w14:textId="77777777">
        <w:tc>
          <w:tcPr>
            <w:tcW w:w="0" w:type="auto"/>
          </w:tcPr>
          <w:p w14:paraId="7A68372B" w14:textId="77777777" w:rsidR="00392CC6" w:rsidRDefault="00C76AF3">
            <w:pPr>
              <w:pStyle w:val="Compact"/>
            </w:pPr>
            <w:r>
              <w:t>Off-budget commitments</w:t>
            </w:r>
          </w:p>
        </w:tc>
        <w:tc>
          <w:tcPr>
            <w:tcW w:w="0" w:type="auto"/>
          </w:tcPr>
          <w:p w14:paraId="0B196A21" w14:textId="77777777" w:rsidR="00392CC6" w:rsidRDefault="00C76AF3">
            <w:pPr>
              <w:pStyle w:val="Compact"/>
              <w:jc w:val="center"/>
            </w:pPr>
            <w:r>
              <w:t>MODERATE</w:t>
            </w:r>
          </w:p>
        </w:tc>
        <w:tc>
          <w:tcPr>
            <w:tcW w:w="0" w:type="auto"/>
          </w:tcPr>
          <w:p w14:paraId="6909310D" w14:textId="77777777" w:rsidR="00392CC6" w:rsidRDefault="00C76AF3">
            <w:pPr>
              <w:pStyle w:val="Compact"/>
              <w:jc w:val="center"/>
            </w:pPr>
            <w:r>
              <w:t>HIGH</w:t>
            </w:r>
          </w:p>
        </w:tc>
        <w:tc>
          <w:tcPr>
            <w:tcW w:w="0" w:type="auto"/>
          </w:tcPr>
          <w:p w14:paraId="20ABC15A" w14:textId="77777777" w:rsidR="00392CC6" w:rsidRDefault="00C76AF3">
            <w:pPr>
              <w:pStyle w:val="Compact"/>
              <w:jc w:val="center"/>
            </w:pPr>
            <w:r>
              <w:t>↑ rising</w:t>
            </w:r>
          </w:p>
        </w:tc>
        <w:tc>
          <w:tcPr>
            <w:tcW w:w="0" w:type="auto"/>
          </w:tcPr>
          <w:p w14:paraId="7825564F" w14:textId="77777777" w:rsidR="00392CC6" w:rsidRDefault="00C76AF3">
            <w:pPr>
              <w:pStyle w:val="Compact"/>
            </w:pPr>
            <w:r>
              <w:t>Authorized but not yet disbursed</w:t>
            </w:r>
          </w:p>
        </w:tc>
      </w:tr>
      <w:tr w:rsidR="00392CC6" w14:paraId="1F487EA3" w14:textId="77777777">
        <w:tc>
          <w:tcPr>
            <w:tcW w:w="0" w:type="auto"/>
          </w:tcPr>
          <w:p w14:paraId="327A1715" w14:textId="77777777" w:rsidR="00392CC6" w:rsidRDefault="00C76AF3">
            <w:pPr>
              <w:pStyle w:val="Compact"/>
            </w:pPr>
            <w:r>
              <w:t>Debt sustainability</w:t>
            </w:r>
          </w:p>
        </w:tc>
        <w:tc>
          <w:tcPr>
            <w:tcW w:w="0" w:type="auto"/>
          </w:tcPr>
          <w:p w14:paraId="10D45633" w14:textId="77777777" w:rsidR="00392CC6" w:rsidRDefault="00C76AF3">
            <w:pPr>
              <w:pStyle w:val="Compact"/>
              <w:jc w:val="center"/>
            </w:pPr>
            <w:r>
              <w:t>LOW</w:t>
            </w:r>
          </w:p>
        </w:tc>
        <w:tc>
          <w:tcPr>
            <w:tcW w:w="0" w:type="auto"/>
          </w:tcPr>
          <w:p w14:paraId="3CFBA6A3" w14:textId="77777777" w:rsidR="00392CC6" w:rsidRDefault="00C76AF3">
            <w:pPr>
              <w:pStyle w:val="Compact"/>
              <w:jc w:val="center"/>
            </w:pPr>
            <w:r>
              <w:t>LOW</w:t>
            </w:r>
          </w:p>
        </w:tc>
        <w:tc>
          <w:tcPr>
            <w:tcW w:w="0" w:type="auto"/>
          </w:tcPr>
          <w:p w14:paraId="1D349954" w14:textId="77777777" w:rsidR="00392CC6" w:rsidRDefault="00C76AF3">
            <w:pPr>
              <w:pStyle w:val="Compact"/>
              <w:jc w:val="center"/>
            </w:pPr>
            <w:r>
              <w:t>↓ improving</w:t>
            </w:r>
          </w:p>
        </w:tc>
        <w:tc>
          <w:tcPr>
            <w:tcW w:w="0" w:type="auto"/>
          </w:tcPr>
          <w:p w14:paraId="05EAE464" w14:textId="77777777" w:rsidR="00392CC6" w:rsidRDefault="00C76AF3">
            <w:pPr>
              <w:pStyle w:val="Compact"/>
            </w:pPr>
            <w:r>
              <w:t>Stock declining, service manageable</w:t>
            </w:r>
          </w:p>
        </w:tc>
      </w:tr>
      <w:tr w:rsidR="00392CC6" w14:paraId="1A6D882C" w14:textId="77777777">
        <w:tc>
          <w:tcPr>
            <w:tcW w:w="0" w:type="auto"/>
          </w:tcPr>
          <w:p w14:paraId="3B2EF06F" w14:textId="77777777" w:rsidR="00392CC6" w:rsidRDefault="00C76AF3">
            <w:pPr>
              <w:pStyle w:val="Compact"/>
            </w:pPr>
            <w:r>
              <w:t>Exchange rate risk</w:t>
            </w:r>
          </w:p>
        </w:tc>
        <w:tc>
          <w:tcPr>
            <w:tcW w:w="0" w:type="auto"/>
          </w:tcPr>
          <w:p w14:paraId="12CA952A" w14:textId="77777777" w:rsidR="00392CC6" w:rsidRDefault="00C76AF3">
            <w:pPr>
              <w:pStyle w:val="Compact"/>
              <w:jc w:val="center"/>
            </w:pPr>
            <w:r>
              <w:t>LOW</w:t>
            </w:r>
          </w:p>
        </w:tc>
        <w:tc>
          <w:tcPr>
            <w:tcW w:w="0" w:type="auto"/>
          </w:tcPr>
          <w:p w14:paraId="00C920A3" w14:textId="77777777" w:rsidR="00392CC6" w:rsidRDefault="00C76AF3">
            <w:pPr>
              <w:pStyle w:val="Compact"/>
              <w:jc w:val="center"/>
            </w:pPr>
            <w:r>
              <w:t>LOW</w:t>
            </w:r>
          </w:p>
        </w:tc>
        <w:tc>
          <w:tcPr>
            <w:tcW w:w="0" w:type="auto"/>
          </w:tcPr>
          <w:p w14:paraId="3EF5BF6B" w14:textId="77777777" w:rsidR="00392CC6" w:rsidRDefault="00C76AF3">
            <w:pPr>
              <w:pStyle w:val="Compact"/>
              <w:jc w:val="center"/>
            </w:pPr>
            <w:r>
              <w:t>→ stable</w:t>
            </w:r>
          </w:p>
        </w:tc>
        <w:tc>
          <w:tcPr>
            <w:tcW w:w="0" w:type="auto"/>
          </w:tcPr>
          <w:p w14:paraId="74BD3A2B" w14:textId="77777777" w:rsidR="00392CC6" w:rsidRDefault="00C76AF3">
            <w:pPr>
              <w:pStyle w:val="Compact"/>
            </w:pPr>
            <w:r>
              <w:t>Fixed parity at ₡2.50/US$</w:t>
            </w:r>
          </w:p>
        </w:tc>
      </w:tr>
      <w:tr w:rsidR="00392CC6" w14:paraId="075923CB" w14:textId="77777777">
        <w:tc>
          <w:tcPr>
            <w:tcW w:w="0" w:type="auto"/>
          </w:tcPr>
          <w:p w14:paraId="770DBFE5" w14:textId="77777777" w:rsidR="00392CC6" w:rsidRDefault="00C76AF3">
            <w:pPr>
              <w:pStyle w:val="Compact"/>
            </w:pPr>
            <w:r>
              <w:t>Liquidity/cash management</w:t>
            </w:r>
          </w:p>
        </w:tc>
        <w:tc>
          <w:tcPr>
            <w:tcW w:w="0" w:type="auto"/>
          </w:tcPr>
          <w:p w14:paraId="6587B212" w14:textId="77777777" w:rsidR="00392CC6" w:rsidRDefault="00C76AF3">
            <w:pPr>
              <w:pStyle w:val="Compact"/>
              <w:jc w:val="center"/>
            </w:pPr>
            <w:r>
              <w:t>MODERATE</w:t>
            </w:r>
          </w:p>
        </w:tc>
        <w:tc>
          <w:tcPr>
            <w:tcW w:w="0" w:type="auto"/>
          </w:tcPr>
          <w:p w14:paraId="21C73C60" w14:textId="77777777" w:rsidR="00392CC6" w:rsidRDefault="00C76AF3">
            <w:pPr>
              <w:pStyle w:val="Compact"/>
              <w:jc w:val="center"/>
            </w:pPr>
            <w:r>
              <w:t>MODERATE</w:t>
            </w:r>
          </w:p>
        </w:tc>
        <w:tc>
          <w:tcPr>
            <w:tcW w:w="0" w:type="auto"/>
          </w:tcPr>
          <w:p w14:paraId="7363EE90" w14:textId="77777777" w:rsidR="00392CC6" w:rsidRDefault="00C76AF3">
            <w:pPr>
              <w:pStyle w:val="Compact"/>
              <w:jc w:val="center"/>
            </w:pPr>
            <w:r>
              <w:t>→ stable</w:t>
            </w:r>
          </w:p>
        </w:tc>
        <w:tc>
          <w:tcPr>
            <w:tcW w:w="0" w:type="auto"/>
          </w:tcPr>
          <w:p w14:paraId="5BC3F349" w14:textId="77777777" w:rsidR="00392CC6" w:rsidRDefault="00C76AF3">
            <w:pPr>
              <w:pStyle w:val="Compact"/>
            </w:pPr>
            <w:r>
              <w:t>Accrual-cash gap in customs revenue</w:t>
            </w:r>
          </w:p>
        </w:tc>
      </w:tr>
    </w:tbl>
    <w:p w14:paraId="01BEE849" w14:textId="77777777" w:rsidR="00392CC6" w:rsidRDefault="00C76AF3">
      <w:r>
        <w:pict w14:anchorId="0B67FBC2">
          <v:rect id="_x0000_i1032" style="width:0;height:1.5pt" o:hralign="center" o:hrstd="t" o:hr="t"/>
        </w:pict>
      </w:r>
    </w:p>
    <w:p w14:paraId="13E1DB37" w14:textId="77777777" w:rsidR="00392CC6" w:rsidRDefault="00C76AF3">
      <w:pPr>
        <w:pStyle w:val="Heading2"/>
      </w:pPr>
      <w:bookmarkStart w:id="23" w:name="key-indicators-dashboard"/>
      <w:bookmarkEnd w:id="22"/>
      <w:r>
        <w:t>7. Key Indicators Dashboard</w:t>
      </w:r>
    </w:p>
    <w:p w14:paraId="5AA38447" w14:textId="77777777" w:rsidR="00392CC6" w:rsidRDefault="00C76AF3">
      <w:pPr>
        <w:pStyle w:val="Heading3"/>
      </w:pPr>
      <w:bookmarkStart w:id="24" w:name="Xe9edefc2f1ff259ac6bca5037988c1ab36bf7e1"/>
      <w:r>
        <w:t>Summary Table — Fiscal Health Indicators, 1952–1953</w:t>
      </w:r>
    </w:p>
    <w:tbl>
      <w:tblPr>
        <w:tblStyle w:val="Table"/>
        <w:tblW w:w="5000" w:type="pct"/>
        <w:tblLook w:val="0020" w:firstRow="1" w:lastRow="0" w:firstColumn="0" w:lastColumn="0" w:noHBand="0" w:noVBand="0"/>
      </w:tblPr>
      <w:tblGrid>
        <w:gridCol w:w="4475"/>
        <w:gridCol w:w="1795"/>
        <w:gridCol w:w="1351"/>
        <w:gridCol w:w="1739"/>
      </w:tblGrid>
      <w:tr w:rsidR="00392CC6" w14:paraId="3CD767D5"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4E168A95" w14:textId="77777777" w:rsidR="00392CC6" w:rsidRDefault="00C76AF3">
            <w:pPr>
              <w:pStyle w:val="Compact"/>
            </w:pPr>
            <w:r>
              <w:t>Indicator</w:t>
            </w:r>
          </w:p>
        </w:tc>
        <w:tc>
          <w:tcPr>
            <w:tcW w:w="0" w:type="auto"/>
          </w:tcPr>
          <w:p w14:paraId="51CF5A75" w14:textId="77777777" w:rsidR="00392CC6" w:rsidRDefault="00C76AF3">
            <w:pPr>
              <w:pStyle w:val="Compact"/>
              <w:jc w:val="center"/>
            </w:pPr>
            <w:r>
              <w:t>1952</w:t>
            </w:r>
          </w:p>
        </w:tc>
        <w:tc>
          <w:tcPr>
            <w:tcW w:w="0" w:type="auto"/>
          </w:tcPr>
          <w:p w14:paraId="1ACE1CAA" w14:textId="77777777" w:rsidR="00392CC6" w:rsidRDefault="00C76AF3">
            <w:pPr>
              <w:pStyle w:val="Compact"/>
              <w:jc w:val="center"/>
            </w:pPr>
            <w:r>
              <w:t>1953</w:t>
            </w:r>
          </w:p>
        </w:tc>
        <w:tc>
          <w:tcPr>
            <w:tcW w:w="0" w:type="auto"/>
          </w:tcPr>
          <w:p w14:paraId="702E5748" w14:textId="77777777" w:rsidR="00392CC6" w:rsidRDefault="00C76AF3">
            <w:pPr>
              <w:pStyle w:val="Compact"/>
              <w:jc w:val="center"/>
            </w:pPr>
            <w:r>
              <w:t>Traffic Light</w:t>
            </w:r>
          </w:p>
        </w:tc>
      </w:tr>
      <w:tr w:rsidR="00392CC6" w14:paraId="74EAFB16" w14:textId="77777777">
        <w:tc>
          <w:tcPr>
            <w:tcW w:w="0" w:type="auto"/>
          </w:tcPr>
          <w:p w14:paraId="2EB727D4" w14:textId="77777777" w:rsidR="00392CC6" w:rsidRDefault="00C76AF3">
            <w:pPr>
              <w:pStyle w:val="Compact"/>
            </w:pPr>
            <w:r>
              <w:rPr>
                <w:b/>
                <w:bCs/>
              </w:rPr>
              <w:t>REVENUE</w:t>
            </w:r>
          </w:p>
        </w:tc>
        <w:tc>
          <w:tcPr>
            <w:tcW w:w="0" w:type="auto"/>
          </w:tcPr>
          <w:p w14:paraId="437FB480" w14:textId="77777777" w:rsidR="00392CC6" w:rsidRDefault="00392CC6">
            <w:pPr>
              <w:pStyle w:val="Compact"/>
            </w:pPr>
          </w:p>
        </w:tc>
        <w:tc>
          <w:tcPr>
            <w:tcW w:w="0" w:type="auto"/>
          </w:tcPr>
          <w:p w14:paraId="153C6D17" w14:textId="77777777" w:rsidR="00392CC6" w:rsidRDefault="00392CC6">
            <w:pPr>
              <w:pStyle w:val="Compact"/>
            </w:pPr>
          </w:p>
        </w:tc>
        <w:tc>
          <w:tcPr>
            <w:tcW w:w="0" w:type="auto"/>
          </w:tcPr>
          <w:p w14:paraId="4A31D5FC" w14:textId="77777777" w:rsidR="00392CC6" w:rsidRDefault="00392CC6">
            <w:pPr>
              <w:pStyle w:val="Compact"/>
            </w:pPr>
          </w:p>
        </w:tc>
      </w:tr>
      <w:tr w:rsidR="00392CC6" w14:paraId="3B4FB538" w14:textId="77777777">
        <w:tc>
          <w:tcPr>
            <w:tcW w:w="0" w:type="auto"/>
          </w:tcPr>
          <w:p w14:paraId="75AF7353" w14:textId="77777777" w:rsidR="00392CC6" w:rsidRDefault="00C76AF3">
            <w:pPr>
              <w:pStyle w:val="Compact"/>
            </w:pPr>
            <w:r>
              <w:t>Revenue growth (YoY)</w:t>
            </w:r>
          </w:p>
        </w:tc>
        <w:tc>
          <w:tcPr>
            <w:tcW w:w="0" w:type="auto"/>
          </w:tcPr>
          <w:p w14:paraId="66E82C90" w14:textId="77777777" w:rsidR="00392CC6" w:rsidRDefault="00C76AF3">
            <w:pPr>
              <w:pStyle w:val="Compact"/>
              <w:jc w:val="center"/>
            </w:pPr>
            <w:r>
              <w:t>+8%</w:t>
            </w:r>
          </w:p>
        </w:tc>
        <w:tc>
          <w:tcPr>
            <w:tcW w:w="0" w:type="auto"/>
          </w:tcPr>
          <w:p w14:paraId="7402826D" w14:textId="77777777" w:rsidR="00392CC6" w:rsidRDefault="00C76AF3">
            <w:pPr>
              <w:pStyle w:val="Compact"/>
              <w:jc w:val="center"/>
            </w:pPr>
            <w:r>
              <w:t>+10%</w:t>
            </w:r>
          </w:p>
        </w:tc>
        <w:tc>
          <w:tcPr>
            <w:tcW w:w="0" w:type="auto"/>
          </w:tcPr>
          <w:p w14:paraId="1F5281F1" w14:textId="77777777" w:rsidR="00392CC6" w:rsidRDefault="00C76AF3">
            <w:pPr>
              <w:pStyle w:val="Compact"/>
              <w:jc w:val="center"/>
            </w:pPr>
            <w:r>
              <w:t>🟢</w:t>
            </w:r>
            <w:r>
              <w:t xml:space="preserve"> GREEN</w:t>
            </w:r>
          </w:p>
        </w:tc>
      </w:tr>
      <w:tr w:rsidR="00392CC6" w14:paraId="6E4EB664" w14:textId="77777777">
        <w:tc>
          <w:tcPr>
            <w:tcW w:w="0" w:type="auto"/>
          </w:tcPr>
          <w:p w14:paraId="7BE807CC" w14:textId="77777777" w:rsidR="00392CC6" w:rsidRDefault="00C76AF3">
            <w:pPr>
              <w:pStyle w:val="Compact"/>
            </w:pPr>
            <w:r>
              <w:t>Trade tax dependence (% of total)</w:t>
            </w:r>
          </w:p>
        </w:tc>
        <w:tc>
          <w:tcPr>
            <w:tcW w:w="0" w:type="auto"/>
          </w:tcPr>
          <w:p w14:paraId="0F8010E0" w14:textId="77777777" w:rsidR="00392CC6" w:rsidRDefault="00C76AF3">
            <w:pPr>
              <w:pStyle w:val="Compact"/>
              <w:jc w:val="center"/>
            </w:pPr>
            <w:r>
              <w:t>~86%</w:t>
            </w:r>
          </w:p>
        </w:tc>
        <w:tc>
          <w:tcPr>
            <w:tcW w:w="0" w:type="auto"/>
          </w:tcPr>
          <w:p w14:paraId="3F142D47" w14:textId="77777777" w:rsidR="00392CC6" w:rsidRDefault="00C76AF3">
            <w:pPr>
              <w:pStyle w:val="Compact"/>
              <w:jc w:val="center"/>
            </w:pPr>
            <w:r>
              <w:t>~87%</w:t>
            </w:r>
          </w:p>
        </w:tc>
        <w:tc>
          <w:tcPr>
            <w:tcW w:w="0" w:type="auto"/>
          </w:tcPr>
          <w:p w14:paraId="0419D6B6" w14:textId="77777777" w:rsidR="00392CC6" w:rsidRDefault="00C76AF3">
            <w:pPr>
              <w:pStyle w:val="Compact"/>
              <w:jc w:val="center"/>
            </w:pPr>
            <w:r>
              <w:t>🔴</w:t>
            </w:r>
            <w:r>
              <w:t xml:space="preserve"> RED</w:t>
            </w:r>
          </w:p>
        </w:tc>
      </w:tr>
      <w:tr w:rsidR="00392CC6" w14:paraId="2C93FEA1" w14:textId="77777777">
        <w:tc>
          <w:tcPr>
            <w:tcW w:w="0" w:type="auto"/>
          </w:tcPr>
          <w:p w14:paraId="5CB815F5" w14:textId="77777777" w:rsidR="00392CC6" w:rsidRDefault="00C76AF3">
            <w:pPr>
              <w:pStyle w:val="Compact"/>
            </w:pPr>
            <w:r>
              <w:t>Direct tax share</w:t>
            </w:r>
          </w:p>
        </w:tc>
        <w:tc>
          <w:tcPr>
            <w:tcW w:w="0" w:type="auto"/>
          </w:tcPr>
          <w:p w14:paraId="1D2F4D1F" w14:textId="77777777" w:rsidR="00392CC6" w:rsidRDefault="00C76AF3">
            <w:pPr>
              <w:pStyle w:val="Compact"/>
              <w:jc w:val="center"/>
            </w:pPr>
            <w:r>
              <w:t>~6%</w:t>
            </w:r>
          </w:p>
        </w:tc>
        <w:tc>
          <w:tcPr>
            <w:tcW w:w="0" w:type="auto"/>
          </w:tcPr>
          <w:p w14:paraId="3AAE4E11" w14:textId="77777777" w:rsidR="00392CC6" w:rsidRDefault="00C76AF3">
            <w:pPr>
              <w:pStyle w:val="Compact"/>
              <w:jc w:val="center"/>
            </w:pPr>
            <w:r>
              <w:t>~6%</w:t>
            </w:r>
          </w:p>
        </w:tc>
        <w:tc>
          <w:tcPr>
            <w:tcW w:w="0" w:type="auto"/>
          </w:tcPr>
          <w:p w14:paraId="4BF5B7AB" w14:textId="77777777" w:rsidR="00392CC6" w:rsidRDefault="00C76AF3">
            <w:pPr>
              <w:pStyle w:val="Compact"/>
              <w:jc w:val="center"/>
            </w:pPr>
            <w:r>
              <w:t>🔴</w:t>
            </w:r>
            <w:r>
              <w:t xml:space="preserve"> RED</w:t>
            </w:r>
          </w:p>
        </w:tc>
      </w:tr>
      <w:tr w:rsidR="00392CC6" w14:paraId="3AF61BAE" w14:textId="77777777">
        <w:tc>
          <w:tcPr>
            <w:tcW w:w="0" w:type="auto"/>
          </w:tcPr>
          <w:p w14:paraId="449C225B" w14:textId="77777777" w:rsidR="00392CC6" w:rsidRDefault="00C76AF3">
            <w:pPr>
              <w:pStyle w:val="Compact"/>
            </w:pPr>
            <w:r>
              <w:t>Revenue volatility (5-yr range)</w:t>
            </w:r>
          </w:p>
        </w:tc>
        <w:tc>
          <w:tcPr>
            <w:tcW w:w="0" w:type="auto"/>
          </w:tcPr>
          <w:p w14:paraId="34DEDBEB" w14:textId="77777777" w:rsidR="00392CC6" w:rsidRDefault="00C76AF3">
            <w:pPr>
              <w:pStyle w:val="Compact"/>
              <w:jc w:val="center"/>
            </w:pPr>
            <w:r>
              <w:t>+8% to +41%</w:t>
            </w:r>
          </w:p>
        </w:tc>
        <w:tc>
          <w:tcPr>
            <w:tcW w:w="0" w:type="auto"/>
          </w:tcPr>
          <w:p w14:paraId="64A79E8F" w14:textId="77777777" w:rsidR="00392CC6" w:rsidRDefault="00C76AF3">
            <w:pPr>
              <w:pStyle w:val="Compact"/>
              <w:jc w:val="center"/>
            </w:pPr>
            <w:r>
              <w:t>—</w:t>
            </w:r>
          </w:p>
        </w:tc>
        <w:tc>
          <w:tcPr>
            <w:tcW w:w="0" w:type="auto"/>
          </w:tcPr>
          <w:p w14:paraId="0D7ACC23" w14:textId="77777777" w:rsidR="00392CC6" w:rsidRDefault="00C76AF3">
            <w:pPr>
              <w:pStyle w:val="Compact"/>
              <w:jc w:val="center"/>
            </w:pPr>
            <w:r>
              <w:t>🟡</w:t>
            </w:r>
            <w:r>
              <w:t xml:space="preserve"> YELLOW</w:t>
            </w:r>
          </w:p>
        </w:tc>
      </w:tr>
      <w:tr w:rsidR="00392CC6" w14:paraId="23C81F87" w14:textId="77777777">
        <w:tc>
          <w:tcPr>
            <w:tcW w:w="0" w:type="auto"/>
          </w:tcPr>
          <w:p w14:paraId="0E90A833" w14:textId="77777777" w:rsidR="00392CC6" w:rsidRDefault="00C76AF3">
            <w:pPr>
              <w:pStyle w:val="Compact"/>
            </w:pPr>
            <w:r>
              <w:rPr>
                <w:b/>
                <w:bCs/>
              </w:rPr>
              <w:t>EXPENDITURE</w:t>
            </w:r>
          </w:p>
        </w:tc>
        <w:tc>
          <w:tcPr>
            <w:tcW w:w="0" w:type="auto"/>
          </w:tcPr>
          <w:p w14:paraId="5E9152AA" w14:textId="77777777" w:rsidR="00392CC6" w:rsidRDefault="00392CC6">
            <w:pPr>
              <w:pStyle w:val="Compact"/>
            </w:pPr>
          </w:p>
        </w:tc>
        <w:tc>
          <w:tcPr>
            <w:tcW w:w="0" w:type="auto"/>
          </w:tcPr>
          <w:p w14:paraId="081D2F0F" w14:textId="77777777" w:rsidR="00392CC6" w:rsidRDefault="00392CC6">
            <w:pPr>
              <w:pStyle w:val="Compact"/>
            </w:pPr>
          </w:p>
        </w:tc>
        <w:tc>
          <w:tcPr>
            <w:tcW w:w="0" w:type="auto"/>
          </w:tcPr>
          <w:p w14:paraId="62A30A1F" w14:textId="77777777" w:rsidR="00392CC6" w:rsidRDefault="00392CC6">
            <w:pPr>
              <w:pStyle w:val="Compact"/>
            </w:pPr>
          </w:p>
        </w:tc>
      </w:tr>
      <w:tr w:rsidR="00392CC6" w14:paraId="1F3A350B" w14:textId="77777777">
        <w:tc>
          <w:tcPr>
            <w:tcW w:w="0" w:type="auto"/>
          </w:tcPr>
          <w:p w14:paraId="4F6E56D5" w14:textId="77777777" w:rsidR="00392CC6" w:rsidRDefault="00C76AF3">
            <w:pPr>
              <w:pStyle w:val="Compact"/>
            </w:pPr>
            <w:r>
              <w:t>Expenditure growth (YoY)</w:t>
            </w:r>
          </w:p>
        </w:tc>
        <w:tc>
          <w:tcPr>
            <w:tcW w:w="0" w:type="auto"/>
          </w:tcPr>
          <w:p w14:paraId="57060C95" w14:textId="77777777" w:rsidR="00392CC6" w:rsidRDefault="00C76AF3">
            <w:pPr>
              <w:pStyle w:val="Compact"/>
              <w:jc w:val="center"/>
            </w:pPr>
            <w:r>
              <w:t>—</w:t>
            </w:r>
          </w:p>
        </w:tc>
        <w:tc>
          <w:tcPr>
            <w:tcW w:w="0" w:type="auto"/>
          </w:tcPr>
          <w:p w14:paraId="1E1D9CDA" w14:textId="77777777" w:rsidR="00392CC6" w:rsidRDefault="00C76AF3">
            <w:pPr>
              <w:pStyle w:val="Compact"/>
              <w:jc w:val="center"/>
            </w:pPr>
            <w:r>
              <w:t>+10.7%</w:t>
            </w:r>
          </w:p>
        </w:tc>
        <w:tc>
          <w:tcPr>
            <w:tcW w:w="0" w:type="auto"/>
          </w:tcPr>
          <w:p w14:paraId="7117202C" w14:textId="77777777" w:rsidR="00392CC6" w:rsidRDefault="00C76AF3">
            <w:pPr>
              <w:pStyle w:val="Compact"/>
              <w:jc w:val="center"/>
            </w:pPr>
            <w:r>
              <w:t>🟢</w:t>
            </w:r>
            <w:r>
              <w:t xml:space="preserve"> GREEN</w:t>
            </w:r>
          </w:p>
        </w:tc>
      </w:tr>
      <w:tr w:rsidR="00392CC6" w14:paraId="0DFF16BE" w14:textId="77777777">
        <w:tc>
          <w:tcPr>
            <w:tcW w:w="0" w:type="auto"/>
          </w:tcPr>
          <w:p w14:paraId="1711A09E" w14:textId="77777777" w:rsidR="00392CC6" w:rsidRDefault="00C76AF3">
            <w:pPr>
              <w:pStyle w:val="Compact"/>
            </w:pPr>
            <w:r>
              <w:t>Wage bill / total expenditure</w:t>
            </w:r>
          </w:p>
        </w:tc>
        <w:tc>
          <w:tcPr>
            <w:tcW w:w="0" w:type="auto"/>
          </w:tcPr>
          <w:p w14:paraId="1A4B9B07" w14:textId="77777777" w:rsidR="00392CC6" w:rsidRDefault="00C76AF3">
            <w:pPr>
              <w:pStyle w:val="Compact"/>
              <w:jc w:val="center"/>
            </w:pPr>
            <w:r>
              <w:t>48.2%</w:t>
            </w:r>
          </w:p>
        </w:tc>
        <w:tc>
          <w:tcPr>
            <w:tcW w:w="0" w:type="auto"/>
          </w:tcPr>
          <w:p w14:paraId="618715E9" w14:textId="77777777" w:rsidR="00392CC6" w:rsidRDefault="00C76AF3">
            <w:pPr>
              <w:pStyle w:val="Compact"/>
              <w:jc w:val="center"/>
            </w:pPr>
            <w:r>
              <w:t>49.7%</w:t>
            </w:r>
          </w:p>
        </w:tc>
        <w:tc>
          <w:tcPr>
            <w:tcW w:w="0" w:type="auto"/>
          </w:tcPr>
          <w:p w14:paraId="16607898" w14:textId="77777777" w:rsidR="00392CC6" w:rsidRDefault="00C76AF3">
            <w:pPr>
              <w:pStyle w:val="Compact"/>
              <w:jc w:val="center"/>
            </w:pPr>
            <w:r>
              <w:t>🟡</w:t>
            </w:r>
            <w:r>
              <w:t xml:space="preserve"> YELLOW</w:t>
            </w:r>
          </w:p>
        </w:tc>
      </w:tr>
      <w:tr w:rsidR="00392CC6" w14:paraId="50C918BE" w14:textId="77777777">
        <w:tc>
          <w:tcPr>
            <w:tcW w:w="0" w:type="auto"/>
          </w:tcPr>
          <w:p w14:paraId="0E18415B" w14:textId="77777777" w:rsidR="00392CC6" w:rsidRDefault="00C76AF3">
            <w:pPr>
              <w:pStyle w:val="Compact"/>
            </w:pPr>
            <w:r>
              <w:t>Budget rigidity (rigid + semi-rigid)</w:t>
            </w:r>
          </w:p>
        </w:tc>
        <w:tc>
          <w:tcPr>
            <w:tcW w:w="0" w:type="auto"/>
          </w:tcPr>
          <w:p w14:paraId="538FFABA" w14:textId="77777777" w:rsidR="00392CC6" w:rsidRDefault="00C76AF3">
            <w:pPr>
              <w:pStyle w:val="Compact"/>
              <w:jc w:val="center"/>
            </w:pPr>
            <w:r>
              <w:t>73.9%</w:t>
            </w:r>
          </w:p>
        </w:tc>
        <w:tc>
          <w:tcPr>
            <w:tcW w:w="0" w:type="auto"/>
          </w:tcPr>
          <w:p w14:paraId="55929406" w14:textId="77777777" w:rsidR="00392CC6" w:rsidRDefault="00C76AF3">
            <w:pPr>
              <w:pStyle w:val="Compact"/>
              <w:jc w:val="center"/>
            </w:pPr>
            <w:r>
              <w:t>75.2%</w:t>
            </w:r>
          </w:p>
        </w:tc>
        <w:tc>
          <w:tcPr>
            <w:tcW w:w="0" w:type="auto"/>
          </w:tcPr>
          <w:p w14:paraId="73459DF1" w14:textId="77777777" w:rsidR="00392CC6" w:rsidRDefault="00C76AF3">
            <w:pPr>
              <w:pStyle w:val="Compact"/>
              <w:jc w:val="center"/>
            </w:pPr>
            <w:r>
              <w:t>🟡</w:t>
            </w:r>
            <w:r>
              <w:t xml:space="preserve"> YELLOW</w:t>
            </w:r>
          </w:p>
        </w:tc>
      </w:tr>
      <w:tr w:rsidR="00392CC6" w14:paraId="5585B22D" w14:textId="77777777">
        <w:tc>
          <w:tcPr>
            <w:tcW w:w="0" w:type="auto"/>
          </w:tcPr>
          <w:p w14:paraId="4DC703F8" w14:textId="77777777" w:rsidR="00392CC6" w:rsidRDefault="00C76AF3">
            <w:pPr>
              <w:pStyle w:val="Compact"/>
            </w:pPr>
            <w:r>
              <w:t>Budget utilization rate</w:t>
            </w:r>
          </w:p>
        </w:tc>
        <w:tc>
          <w:tcPr>
            <w:tcW w:w="0" w:type="auto"/>
          </w:tcPr>
          <w:p w14:paraId="66F01DDA" w14:textId="77777777" w:rsidR="00392CC6" w:rsidRDefault="00C76AF3">
            <w:pPr>
              <w:pStyle w:val="Compact"/>
              <w:jc w:val="center"/>
            </w:pPr>
            <w:r>
              <w:t>~85%</w:t>
            </w:r>
          </w:p>
        </w:tc>
        <w:tc>
          <w:tcPr>
            <w:tcW w:w="0" w:type="auto"/>
          </w:tcPr>
          <w:p w14:paraId="24B62F74" w14:textId="77777777" w:rsidR="00392CC6" w:rsidRDefault="00C76AF3">
            <w:pPr>
              <w:pStyle w:val="Compact"/>
              <w:jc w:val="center"/>
            </w:pPr>
            <w:r>
              <w:t>86%</w:t>
            </w:r>
          </w:p>
        </w:tc>
        <w:tc>
          <w:tcPr>
            <w:tcW w:w="0" w:type="auto"/>
          </w:tcPr>
          <w:p w14:paraId="7C474742" w14:textId="77777777" w:rsidR="00392CC6" w:rsidRDefault="00C76AF3">
            <w:pPr>
              <w:pStyle w:val="Compact"/>
              <w:jc w:val="center"/>
            </w:pPr>
            <w:r>
              <w:t>🟢</w:t>
            </w:r>
            <w:r>
              <w:t xml:space="preserve"> GREEN</w:t>
            </w:r>
          </w:p>
        </w:tc>
      </w:tr>
      <w:tr w:rsidR="00392CC6" w14:paraId="4CA44D4B" w14:textId="77777777">
        <w:tc>
          <w:tcPr>
            <w:tcW w:w="0" w:type="auto"/>
          </w:tcPr>
          <w:p w14:paraId="0511444A" w14:textId="77777777" w:rsidR="00392CC6" w:rsidRDefault="00C76AF3">
            <w:pPr>
              <w:pStyle w:val="Compact"/>
            </w:pPr>
            <w:r>
              <w:rPr>
                <w:b/>
                <w:bCs/>
              </w:rPr>
              <w:t>FISCAL BALANCE</w:t>
            </w:r>
          </w:p>
        </w:tc>
        <w:tc>
          <w:tcPr>
            <w:tcW w:w="0" w:type="auto"/>
          </w:tcPr>
          <w:p w14:paraId="0275797E" w14:textId="77777777" w:rsidR="00392CC6" w:rsidRDefault="00392CC6">
            <w:pPr>
              <w:pStyle w:val="Compact"/>
            </w:pPr>
          </w:p>
        </w:tc>
        <w:tc>
          <w:tcPr>
            <w:tcW w:w="0" w:type="auto"/>
          </w:tcPr>
          <w:p w14:paraId="6FC2897F" w14:textId="77777777" w:rsidR="00392CC6" w:rsidRDefault="00392CC6">
            <w:pPr>
              <w:pStyle w:val="Compact"/>
            </w:pPr>
          </w:p>
        </w:tc>
        <w:tc>
          <w:tcPr>
            <w:tcW w:w="0" w:type="auto"/>
          </w:tcPr>
          <w:p w14:paraId="1521CC38" w14:textId="77777777" w:rsidR="00392CC6" w:rsidRDefault="00392CC6">
            <w:pPr>
              <w:pStyle w:val="Compact"/>
            </w:pPr>
          </w:p>
        </w:tc>
      </w:tr>
      <w:tr w:rsidR="00392CC6" w14:paraId="19FB029C" w14:textId="77777777">
        <w:tc>
          <w:tcPr>
            <w:tcW w:w="0" w:type="auto"/>
          </w:tcPr>
          <w:p w14:paraId="563624FD" w14:textId="77777777" w:rsidR="00392CC6" w:rsidRDefault="00C76AF3">
            <w:pPr>
              <w:pStyle w:val="Compact"/>
            </w:pPr>
            <w:r>
              <w:t>Headline balance / revenue</w:t>
            </w:r>
          </w:p>
        </w:tc>
        <w:tc>
          <w:tcPr>
            <w:tcW w:w="0" w:type="auto"/>
          </w:tcPr>
          <w:p w14:paraId="7635E994" w14:textId="77777777" w:rsidR="00392CC6" w:rsidRDefault="00C76AF3">
            <w:pPr>
              <w:pStyle w:val="Compact"/>
              <w:jc w:val="center"/>
            </w:pPr>
            <w:r>
              <w:t>+17.1%</w:t>
            </w:r>
          </w:p>
        </w:tc>
        <w:tc>
          <w:tcPr>
            <w:tcW w:w="0" w:type="auto"/>
          </w:tcPr>
          <w:p w14:paraId="0D4ED3A5" w14:textId="77777777" w:rsidR="00392CC6" w:rsidRDefault="00C76AF3">
            <w:pPr>
              <w:pStyle w:val="Compact"/>
              <w:jc w:val="center"/>
            </w:pPr>
            <w:r>
              <w:t>+11.6%</w:t>
            </w:r>
          </w:p>
        </w:tc>
        <w:tc>
          <w:tcPr>
            <w:tcW w:w="0" w:type="auto"/>
          </w:tcPr>
          <w:p w14:paraId="241A249B" w14:textId="77777777" w:rsidR="00392CC6" w:rsidRDefault="00C76AF3">
            <w:pPr>
              <w:pStyle w:val="Compact"/>
              <w:jc w:val="center"/>
            </w:pPr>
            <w:r>
              <w:t>🟢</w:t>
            </w:r>
            <w:r>
              <w:t xml:space="preserve"> GREEN</w:t>
            </w:r>
          </w:p>
        </w:tc>
      </w:tr>
      <w:tr w:rsidR="00392CC6" w14:paraId="1C0F1836" w14:textId="77777777">
        <w:tc>
          <w:tcPr>
            <w:tcW w:w="0" w:type="auto"/>
          </w:tcPr>
          <w:p w14:paraId="4D9FEC45" w14:textId="77777777" w:rsidR="00392CC6" w:rsidRDefault="00C76AF3">
            <w:pPr>
              <w:pStyle w:val="Compact"/>
            </w:pPr>
            <w:r>
              <w:t>Consolidated balance / revenue (est.)</w:t>
            </w:r>
          </w:p>
        </w:tc>
        <w:tc>
          <w:tcPr>
            <w:tcW w:w="0" w:type="auto"/>
          </w:tcPr>
          <w:p w14:paraId="0B37E57E" w14:textId="77777777" w:rsidR="00392CC6" w:rsidRDefault="00C76AF3">
            <w:pPr>
              <w:pStyle w:val="Compact"/>
              <w:jc w:val="center"/>
            </w:pPr>
            <w:r>
              <w:t>—</w:t>
            </w:r>
          </w:p>
        </w:tc>
        <w:tc>
          <w:tcPr>
            <w:tcW w:w="0" w:type="auto"/>
          </w:tcPr>
          <w:p w14:paraId="7A6BBEC1" w14:textId="77777777" w:rsidR="00392CC6" w:rsidRDefault="00C76AF3">
            <w:pPr>
              <w:pStyle w:val="Compact"/>
              <w:jc w:val="center"/>
            </w:pPr>
            <w:r>
              <w:t>~3.8%</w:t>
            </w:r>
          </w:p>
        </w:tc>
        <w:tc>
          <w:tcPr>
            <w:tcW w:w="0" w:type="auto"/>
          </w:tcPr>
          <w:p w14:paraId="1281E3DC" w14:textId="77777777" w:rsidR="00392CC6" w:rsidRDefault="00C76AF3">
            <w:pPr>
              <w:pStyle w:val="Compact"/>
              <w:jc w:val="center"/>
            </w:pPr>
            <w:r>
              <w:t>🟢</w:t>
            </w:r>
            <w:r>
              <w:t xml:space="preserve"> GREEN</w:t>
            </w:r>
          </w:p>
        </w:tc>
      </w:tr>
      <w:tr w:rsidR="00392CC6" w14:paraId="45A22A29" w14:textId="77777777">
        <w:tc>
          <w:tcPr>
            <w:tcW w:w="0" w:type="auto"/>
          </w:tcPr>
          <w:p w14:paraId="0A208652" w14:textId="77777777" w:rsidR="00392CC6" w:rsidRDefault="00C76AF3">
            <w:pPr>
              <w:pStyle w:val="Compact"/>
            </w:pPr>
            <w:r>
              <w:rPr>
                <w:b/>
                <w:bCs/>
              </w:rPr>
              <w:t>DEBT</w:t>
            </w:r>
          </w:p>
        </w:tc>
        <w:tc>
          <w:tcPr>
            <w:tcW w:w="0" w:type="auto"/>
          </w:tcPr>
          <w:p w14:paraId="1CCD9BD5" w14:textId="77777777" w:rsidR="00392CC6" w:rsidRDefault="00392CC6">
            <w:pPr>
              <w:pStyle w:val="Compact"/>
            </w:pPr>
          </w:p>
        </w:tc>
        <w:tc>
          <w:tcPr>
            <w:tcW w:w="0" w:type="auto"/>
          </w:tcPr>
          <w:p w14:paraId="16DFFC05" w14:textId="77777777" w:rsidR="00392CC6" w:rsidRDefault="00392CC6">
            <w:pPr>
              <w:pStyle w:val="Compact"/>
            </w:pPr>
          </w:p>
        </w:tc>
        <w:tc>
          <w:tcPr>
            <w:tcW w:w="0" w:type="auto"/>
          </w:tcPr>
          <w:p w14:paraId="29D403CA" w14:textId="77777777" w:rsidR="00392CC6" w:rsidRDefault="00392CC6">
            <w:pPr>
              <w:pStyle w:val="Compact"/>
            </w:pPr>
          </w:p>
        </w:tc>
      </w:tr>
      <w:tr w:rsidR="00392CC6" w14:paraId="3FCACFB5" w14:textId="77777777">
        <w:tc>
          <w:tcPr>
            <w:tcW w:w="0" w:type="auto"/>
          </w:tcPr>
          <w:p w14:paraId="79382F32" w14:textId="77777777" w:rsidR="00392CC6" w:rsidRDefault="00C76AF3">
            <w:pPr>
              <w:pStyle w:val="Compact"/>
            </w:pPr>
            <w:r>
              <w:t>Total debt / revenue</w:t>
            </w:r>
          </w:p>
        </w:tc>
        <w:tc>
          <w:tcPr>
            <w:tcW w:w="0" w:type="auto"/>
          </w:tcPr>
          <w:p w14:paraId="7B779C3A" w14:textId="77777777" w:rsidR="00392CC6" w:rsidRDefault="00C76AF3">
            <w:pPr>
              <w:pStyle w:val="Compact"/>
              <w:jc w:val="center"/>
            </w:pPr>
            <w:r>
              <w:t>22.6%</w:t>
            </w:r>
          </w:p>
        </w:tc>
        <w:tc>
          <w:tcPr>
            <w:tcW w:w="0" w:type="auto"/>
          </w:tcPr>
          <w:p w14:paraId="36B16212" w14:textId="77777777" w:rsidR="00392CC6" w:rsidRDefault="00C76AF3">
            <w:pPr>
              <w:pStyle w:val="Compact"/>
              <w:jc w:val="center"/>
            </w:pPr>
            <w:r>
              <w:t>20.2%</w:t>
            </w:r>
          </w:p>
        </w:tc>
        <w:tc>
          <w:tcPr>
            <w:tcW w:w="0" w:type="auto"/>
          </w:tcPr>
          <w:p w14:paraId="4E0C0FE6" w14:textId="77777777" w:rsidR="00392CC6" w:rsidRDefault="00C76AF3">
            <w:pPr>
              <w:pStyle w:val="Compact"/>
              <w:jc w:val="center"/>
            </w:pPr>
            <w:r>
              <w:t>🟢</w:t>
            </w:r>
            <w:r>
              <w:t xml:space="preserve"> GREEN</w:t>
            </w:r>
          </w:p>
        </w:tc>
      </w:tr>
      <w:tr w:rsidR="00392CC6" w14:paraId="2A456962" w14:textId="77777777">
        <w:tc>
          <w:tcPr>
            <w:tcW w:w="0" w:type="auto"/>
          </w:tcPr>
          <w:p w14:paraId="628F34D5" w14:textId="77777777" w:rsidR="00392CC6" w:rsidRDefault="00C76AF3">
            <w:pPr>
              <w:pStyle w:val="Compact"/>
            </w:pPr>
            <w:r>
              <w:t>Debt service / expenditure</w:t>
            </w:r>
          </w:p>
        </w:tc>
        <w:tc>
          <w:tcPr>
            <w:tcW w:w="0" w:type="auto"/>
          </w:tcPr>
          <w:p w14:paraId="2AEAC6AB" w14:textId="77777777" w:rsidR="00392CC6" w:rsidRDefault="00C76AF3">
            <w:pPr>
              <w:pStyle w:val="Compact"/>
              <w:jc w:val="center"/>
            </w:pPr>
            <w:r>
              <w:t>4.6%</w:t>
            </w:r>
          </w:p>
        </w:tc>
        <w:tc>
          <w:tcPr>
            <w:tcW w:w="0" w:type="auto"/>
          </w:tcPr>
          <w:p w14:paraId="0BD44832" w14:textId="77777777" w:rsidR="00392CC6" w:rsidRDefault="00C76AF3">
            <w:pPr>
              <w:pStyle w:val="Compact"/>
              <w:jc w:val="center"/>
            </w:pPr>
            <w:r>
              <w:t>4.3%</w:t>
            </w:r>
          </w:p>
        </w:tc>
        <w:tc>
          <w:tcPr>
            <w:tcW w:w="0" w:type="auto"/>
          </w:tcPr>
          <w:p w14:paraId="69E250DF" w14:textId="77777777" w:rsidR="00392CC6" w:rsidRDefault="00C76AF3">
            <w:pPr>
              <w:pStyle w:val="Compact"/>
              <w:jc w:val="center"/>
            </w:pPr>
            <w:r>
              <w:t>🟢</w:t>
            </w:r>
            <w:r>
              <w:t xml:space="preserve"> GREEN</w:t>
            </w:r>
          </w:p>
        </w:tc>
      </w:tr>
      <w:tr w:rsidR="00392CC6" w14:paraId="6D7B3731" w14:textId="77777777">
        <w:tc>
          <w:tcPr>
            <w:tcW w:w="0" w:type="auto"/>
          </w:tcPr>
          <w:p w14:paraId="43E89D6F" w14:textId="77777777" w:rsidR="00392CC6" w:rsidRDefault="00C76AF3">
            <w:pPr>
              <w:pStyle w:val="Compact"/>
            </w:pPr>
            <w:r>
              <w:t>Debt service / revenue</w:t>
            </w:r>
          </w:p>
        </w:tc>
        <w:tc>
          <w:tcPr>
            <w:tcW w:w="0" w:type="auto"/>
          </w:tcPr>
          <w:p w14:paraId="4DEC7414" w14:textId="77777777" w:rsidR="00392CC6" w:rsidRDefault="00C76AF3">
            <w:pPr>
              <w:pStyle w:val="Compact"/>
              <w:jc w:val="center"/>
            </w:pPr>
            <w:r>
              <w:t>3.8%</w:t>
            </w:r>
          </w:p>
        </w:tc>
        <w:tc>
          <w:tcPr>
            <w:tcW w:w="0" w:type="auto"/>
          </w:tcPr>
          <w:p w14:paraId="032E0B6C" w14:textId="77777777" w:rsidR="00392CC6" w:rsidRDefault="00C76AF3">
            <w:pPr>
              <w:pStyle w:val="Compact"/>
              <w:jc w:val="center"/>
            </w:pPr>
            <w:r>
              <w:t>3.8%</w:t>
            </w:r>
          </w:p>
        </w:tc>
        <w:tc>
          <w:tcPr>
            <w:tcW w:w="0" w:type="auto"/>
          </w:tcPr>
          <w:p w14:paraId="1878CDC8" w14:textId="77777777" w:rsidR="00392CC6" w:rsidRDefault="00C76AF3">
            <w:pPr>
              <w:pStyle w:val="Compact"/>
              <w:jc w:val="center"/>
            </w:pPr>
            <w:r>
              <w:t>🟢</w:t>
            </w:r>
            <w:r>
              <w:t xml:space="preserve"> GREEN</w:t>
            </w:r>
          </w:p>
        </w:tc>
      </w:tr>
      <w:tr w:rsidR="00392CC6" w14:paraId="287E309F" w14:textId="77777777">
        <w:tc>
          <w:tcPr>
            <w:tcW w:w="0" w:type="auto"/>
          </w:tcPr>
          <w:p w14:paraId="2B0132DC" w14:textId="77777777" w:rsidR="00392CC6" w:rsidRDefault="00C76AF3">
            <w:pPr>
              <w:pStyle w:val="Compact"/>
            </w:pPr>
            <w:r>
              <w:t>Net debt trajectory</w:t>
            </w:r>
          </w:p>
        </w:tc>
        <w:tc>
          <w:tcPr>
            <w:tcW w:w="0" w:type="auto"/>
          </w:tcPr>
          <w:p w14:paraId="6808F6AA" w14:textId="77777777" w:rsidR="00392CC6" w:rsidRDefault="00C76AF3">
            <w:pPr>
              <w:pStyle w:val="Compact"/>
              <w:jc w:val="center"/>
            </w:pPr>
            <w:r>
              <w:t>declining</w:t>
            </w:r>
          </w:p>
        </w:tc>
        <w:tc>
          <w:tcPr>
            <w:tcW w:w="0" w:type="auto"/>
          </w:tcPr>
          <w:p w14:paraId="3AEBC24E" w14:textId="77777777" w:rsidR="00392CC6" w:rsidRDefault="00C76AF3">
            <w:pPr>
              <w:pStyle w:val="Compact"/>
              <w:jc w:val="center"/>
            </w:pPr>
            <w:r>
              <w:t>declining</w:t>
            </w:r>
          </w:p>
        </w:tc>
        <w:tc>
          <w:tcPr>
            <w:tcW w:w="0" w:type="auto"/>
          </w:tcPr>
          <w:p w14:paraId="018A0F6B" w14:textId="77777777" w:rsidR="00392CC6" w:rsidRDefault="00C76AF3">
            <w:pPr>
              <w:pStyle w:val="Compact"/>
              <w:jc w:val="center"/>
            </w:pPr>
            <w:r>
              <w:t>🟢</w:t>
            </w:r>
            <w:r>
              <w:t xml:space="preserve"> GREEN</w:t>
            </w:r>
          </w:p>
        </w:tc>
      </w:tr>
      <w:tr w:rsidR="00392CC6" w14:paraId="557DAEEF" w14:textId="77777777">
        <w:tc>
          <w:tcPr>
            <w:tcW w:w="0" w:type="auto"/>
          </w:tcPr>
          <w:p w14:paraId="0C1C18CF" w14:textId="77777777" w:rsidR="00392CC6" w:rsidRDefault="00C76AF3">
            <w:pPr>
              <w:pStyle w:val="Compact"/>
            </w:pPr>
            <w:r>
              <w:t>Debt concentration (top instrument)</w:t>
            </w:r>
          </w:p>
        </w:tc>
        <w:tc>
          <w:tcPr>
            <w:tcW w:w="0" w:type="auto"/>
          </w:tcPr>
          <w:p w14:paraId="2CF08266" w14:textId="77777777" w:rsidR="00392CC6" w:rsidRDefault="00C76AF3">
            <w:pPr>
              <w:pStyle w:val="Compact"/>
              <w:jc w:val="center"/>
            </w:pPr>
            <w:r>
              <w:t>62%</w:t>
            </w:r>
          </w:p>
        </w:tc>
        <w:tc>
          <w:tcPr>
            <w:tcW w:w="0" w:type="auto"/>
          </w:tcPr>
          <w:p w14:paraId="21C73FF0" w14:textId="77777777" w:rsidR="00392CC6" w:rsidRDefault="00C76AF3">
            <w:pPr>
              <w:pStyle w:val="Compact"/>
              <w:jc w:val="center"/>
            </w:pPr>
            <w:r>
              <w:t>62%</w:t>
            </w:r>
          </w:p>
        </w:tc>
        <w:tc>
          <w:tcPr>
            <w:tcW w:w="0" w:type="auto"/>
          </w:tcPr>
          <w:p w14:paraId="73EC90D8" w14:textId="77777777" w:rsidR="00392CC6" w:rsidRDefault="00C76AF3">
            <w:pPr>
              <w:pStyle w:val="Compact"/>
              <w:jc w:val="center"/>
            </w:pPr>
            <w:r>
              <w:t>🟡</w:t>
            </w:r>
            <w:r>
              <w:t xml:space="preserve"> YELLOW</w:t>
            </w:r>
          </w:p>
        </w:tc>
      </w:tr>
      <w:tr w:rsidR="00392CC6" w14:paraId="3B3F0756" w14:textId="77777777">
        <w:tc>
          <w:tcPr>
            <w:tcW w:w="0" w:type="auto"/>
          </w:tcPr>
          <w:p w14:paraId="51ACDDD1" w14:textId="77777777" w:rsidR="00392CC6" w:rsidRDefault="00C76AF3">
            <w:pPr>
              <w:pStyle w:val="Compact"/>
            </w:pPr>
            <w:r>
              <w:rPr>
                <w:b/>
                <w:bCs/>
              </w:rPr>
              <w:t>STRUCTURAL</w:t>
            </w:r>
          </w:p>
        </w:tc>
        <w:tc>
          <w:tcPr>
            <w:tcW w:w="0" w:type="auto"/>
          </w:tcPr>
          <w:p w14:paraId="6FC67057" w14:textId="77777777" w:rsidR="00392CC6" w:rsidRDefault="00392CC6">
            <w:pPr>
              <w:pStyle w:val="Compact"/>
            </w:pPr>
          </w:p>
        </w:tc>
        <w:tc>
          <w:tcPr>
            <w:tcW w:w="0" w:type="auto"/>
          </w:tcPr>
          <w:p w14:paraId="2AD0BC82" w14:textId="77777777" w:rsidR="00392CC6" w:rsidRDefault="00392CC6">
            <w:pPr>
              <w:pStyle w:val="Compact"/>
            </w:pPr>
          </w:p>
        </w:tc>
        <w:tc>
          <w:tcPr>
            <w:tcW w:w="0" w:type="auto"/>
          </w:tcPr>
          <w:p w14:paraId="24DC874B" w14:textId="77777777" w:rsidR="00392CC6" w:rsidRDefault="00392CC6">
            <w:pPr>
              <w:pStyle w:val="Compact"/>
            </w:pPr>
          </w:p>
        </w:tc>
      </w:tr>
      <w:tr w:rsidR="00392CC6" w14:paraId="5E2F5DC5" w14:textId="77777777">
        <w:tc>
          <w:tcPr>
            <w:tcW w:w="0" w:type="auto"/>
          </w:tcPr>
          <w:p w14:paraId="7C0945D4" w14:textId="77777777" w:rsidR="00392CC6" w:rsidRDefault="00C76AF3">
            <w:pPr>
              <w:pStyle w:val="Compact"/>
            </w:pPr>
            <w:r>
              <w:t>Revenue-to-GDP</w:t>
            </w:r>
          </w:p>
        </w:tc>
        <w:tc>
          <w:tcPr>
            <w:tcW w:w="0" w:type="auto"/>
          </w:tcPr>
          <w:p w14:paraId="0AC8E32F" w14:textId="77777777" w:rsidR="00392CC6" w:rsidRDefault="00C76AF3">
            <w:pPr>
              <w:pStyle w:val="Compact"/>
              <w:jc w:val="center"/>
            </w:pPr>
            <w:r>
              <w:t>[pending]</w:t>
            </w:r>
          </w:p>
        </w:tc>
        <w:tc>
          <w:tcPr>
            <w:tcW w:w="0" w:type="auto"/>
          </w:tcPr>
          <w:p w14:paraId="57C03DA4" w14:textId="77777777" w:rsidR="00392CC6" w:rsidRDefault="00C76AF3">
            <w:pPr>
              <w:pStyle w:val="Compact"/>
              <w:jc w:val="center"/>
            </w:pPr>
            <w:r>
              <w:t>[pending]</w:t>
            </w:r>
          </w:p>
        </w:tc>
        <w:tc>
          <w:tcPr>
            <w:tcW w:w="0" w:type="auto"/>
          </w:tcPr>
          <w:p w14:paraId="0509A5EE" w14:textId="77777777" w:rsidR="00392CC6" w:rsidRDefault="00C76AF3">
            <w:pPr>
              <w:pStyle w:val="Compact"/>
              <w:jc w:val="center"/>
            </w:pPr>
            <w:r>
              <w:t>⬜</w:t>
            </w:r>
            <w:r>
              <w:t xml:space="preserve"> NO DATA</w:t>
            </w:r>
          </w:p>
        </w:tc>
      </w:tr>
      <w:tr w:rsidR="00392CC6" w14:paraId="635808BE" w14:textId="77777777">
        <w:tc>
          <w:tcPr>
            <w:tcW w:w="0" w:type="auto"/>
          </w:tcPr>
          <w:p w14:paraId="5A2D4540" w14:textId="77777777" w:rsidR="00392CC6" w:rsidRDefault="00C76AF3">
            <w:pPr>
              <w:pStyle w:val="Compact"/>
            </w:pPr>
            <w:r>
              <w:t>Debt-to-GDP</w:t>
            </w:r>
          </w:p>
        </w:tc>
        <w:tc>
          <w:tcPr>
            <w:tcW w:w="0" w:type="auto"/>
          </w:tcPr>
          <w:p w14:paraId="15C69DAA" w14:textId="77777777" w:rsidR="00392CC6" w:rsidRDefault="00C76AF3">
            <w:pPr>
              <w:pStyle w:val="Compact"/>
              <w:jc w:val="center"/>
            </w:pPr>
            <w:r>
              <w:t>[pending]</w:t>
            </w:r>
          </w:p>
        </w:tc>
        <w:tc>
          <w:tcPr>
            <w:tcW w:w="0" w:type="auto"/>
          </w:tcPr>
          <w:p w14:paraId="7F9B4E6F" w14:textId="77777777" w:rsidR="00392CC6" w:rsidRDefault="00C76AF3">
            <w:pPr>
              <w:pStyle w:val="Compact"/>
              <w:jc w:val="center"/>
            </w:pPr>
            <w:r>
              <w:t>[pending]</w:t>
            </w:r>
          </w:p>
        </w:tc>
        <w:tc>
          <w:tcPr>
            <w:tcW w:w="0" w:type="auto"/>
          </w:tcPr>
          <w:p w14:paraId="041CE3B3" w14:textId="77777777" w:rsidR="00392CC6" w:rsidRDefault="00C76AF3">
            <w:pPr>
              <w:pStyle w:val="Compact"/>
              <w:jc w:val="center"/>
            </w:pPr>
            <w:r>
              <w:t>⬜</w:t>
            </w:r>
            <w:r>
              <w:t xml:space="preserve"> NO DATA</w:t>
            </w:r>
          </w:p>
        </w:tc>
      </w:tr>
    </w:tbl>
    <w:p w14:paraId="43543C23" w14:textId="77777777" w:rsidR="00392CC6" w:rsidRDefault="00C76AF3">
      <w:r>
        <w:pict w14:anchorId="2F31FA80">
          <v:rect id="_x0000_i1033" style="width:0;height:1.5pt" o:hralign="center" o:hrstd="t" o:hr="t"/>
        </w:pict>
      </w:r>
    </w:p>
    <w:p w14:paraId="1193DFC3" w14:textId="77777777" w:rsidR="00392CC6" w:rsidRDefault="00C76AF3">
      <w:pPr>
        <w:pStyle w:val="Heading2"/>
      </w:pPr>
      <w:bookmarkStart w:id="25" w:name="preliminary-assessment-and-outlook"/>
      <w:bookmarkEnd w:id="23"/>
      <w:bookmarkEnd w:id="24"/>
      <w:r>
        <w:t>8. Preliminary Assessment and Outlook</w:t>
      </w:r>
    </w:p>
    <w:p w14:paraId="70FBF588" w14:textId="77777777" w:rsidR="00392CC6" w:rsidRDefault="00C76AF3">
      <w:pPr>
        <w:pStyle w:val="Heading3"/>
      </w:pPr>
      <w:bookmarkStart w:id="26" w:name="overall-assessment"/>
      <w:r>
        <w:t>8.1 Overall Assessment</w:t>
      </w:r>
    </w:p>
    <w:p w14:paraId="0D075D5E" w14:textId="77777777" w:rsidR="00392CC6" w:rsidRDefault="00C76AF3">
      <w:pPr>
        <w:pStyle w:val="FirstParagraph"/>
      </w:pPr>
      <w:r>
        <w:t xml:space="preserve">El Salvador’s fiscal position in 1952–53 can be characterized as </w:t>
      </w:r>
      <w:r>
        <w:rPr>
          <w:b/>
          <w:bCs/>
        </w:rPr>
        <w:t>low debt, low stress, high vulnerability</w:t>
      </w:r>
      <w:r>
        <w:t>. The government’s balance sheet was strong: debt was modest and declining, service was manageable, and the budget ran surpluses. But this strength was built on a structurally fragile foundation — a revenue base overwhelmingly dependent on coffee-driven trade taxes, with minimal diversification into direct taxation or non-trade sources.</w:t>
      </w:r>
    </w:p>
    <w:p w14:paraId="6E959578" w14:textId="77777777" w:rsidR="00392CC6" w:rsidRDefault="00C76AF3">
      <w:pPr>
        <w:pStyle w:val="BodyText"/>
      </w:pPr>
      <w:r>
        <w:t>The fiscal architecture had a dual character: a disciplined General Fund that aligned spending to available resources through the quota system, and a parallel set of extraordinary budgets and earmarked funds that financed infrastructure investment through dedicated borrowing. This structure worked well in a period of rising revenues, but contained embedded risks for a downturn: the ordinary budget’s rigidity (75% non-discretionary) would collide with the revenue base’s volatility.</w:t>
      </w:r>
    </w:p>
    <w:p w14:paraId="7B9410E1" w14:textId="77777777" w:rsidR="00392CC6" w:rsidRDefault="00C76AF3">
      <w:pPr>
        <w:pStyle w:val="Heading3"/>
      </w:pPr>
      <w:bookmarkStart w:id="27" w:name="forward-looking-risks"/>
      <w:bookmarkEnd w:id="26"/>
      <w:r>
        <w:t>8.2 Forward-Looking Risks</w:t>
      </w:r>
    </w:p>
    <w:p w14:paraId="7A588457" w14:textId="77777777" w:rsidR="00392CC6" w:rsidRDefault="00C76AF3">
      <w:pPr>
        <w:numPr>
          <w:ilvl w:val="0"/>
          <w:numId w:val="4"/>
        </w:numPr>
      </w:pPr>
      <w:r>
        <w:rPr>
          <w:b/>
          <w:bCs/>
        </w:rPr>
        <w:t>A sustained decline in coffee prices</w:t>
      </w:r>
      <w:r>
        <w:t xml:space="preserve"> would simultaneously reduce export duties, import duties (as reduced export earnings curtailed import capacity), and customs revenue — potentially triggering a fiscal crisis within one to two years. No stabilization fund or countercyclical mechanism was in place.</w:t>
      </w:r>
    </w:p>
    <w:p w14:paraId="30DA0082" w14:textId="77777777" w:rsidR="00392CC6" w:rsidRDefault="00C76AF3">
      <w:pPr>
        <w:numPr>
          <w:ilvl w:val="0"/>
          <w:numId w:val="4"/>
        </w:numPr>
      </w:pPr>
      <w:r>
        <w:rPr>
          <w:b/>
          <w:bCs/>
        </w:rPr>
        <w:t>The draw-down of authorized extraordinary spending</w:t>
      </w:r>
      <w:r>
        <w:t xml:space="preserve"> — particularly the ₡11.15 million Valle de La Esperanza authorization — would substantially increase the government’s debt and annual service requirements, potentially doubling the debt stock.</w:t>
      </w:r>
    </w:p>
    <w:p w14:paraId="36523B4B" w14:textId="77777777" w:rsidR="00392CC6" w:rsidRDefault="00C76AF3">
      <w:pPr>
        <w:numPr>
          <w:ilvl w:val="0"/>
          <w:numId w:val="4"/>
        </w:numPr>
      </w:pPr>
      <w:r>
        <w:rPr>
          <w:b/>
          <w:bCs/>
        </w:rPr>
        <w:t>The retirement of the 1922 loan</w:t>
      </w:r>
      <w:r>
        <w:t>, while positive for debt reduction, also freed fiscal space that would likely be filled by new borrowing for infrastructure. The question is whether new borrowing would be on as favorable terms.</w:t>
      </w:r>
    </w:p>
    <w:p w14:paraId="0BB96B57" w14:textId="77777777" w:rsidR="00392CC6" w:rsidRDefault="00C76AF3">
      <w:pPr>
        <w:numPr>
          <w:ilvl w:val="0"/>
          <w:numId w:val="4"/>
        </w:numPr>
      </w:pPr>
      <w:r>
        <w:rPr>
          <w:b/>
          <w:bCs/>
        </w:rPr>
        <w:t>Wage bill momentum</w:t>
      </w:r>
      <w:r>
        <w:t xml:space="preserve"> — with personnel costs approaching 50% of spending — would increasingly crowd out investment and other discretionary spending, particularly if revenue growth decelerated.</w:t>
      </w:r>
    </w:p>
    <w:p w14:paraId="635799D5" w14:textId="77777777" w:rsidR="00392CC6" w:rsidRDefault="00C76AF3">
      <w:pPr>
        <w:pStyle w:val="Heading3"/>
      </w:pPr>
      <w:bookmarkStart w:id="28" w:name="data-gaps-and-recommended-next-steps"/>
      <w:bookmarkEnd w:id="27"/>
      <w:r>
        <w:t>8.3 Data Gaps and Recommended Next Steps</w:t>
      </w:r>
    </w:p>
    <w:tbl>
      <w:tblPr>
        <w:tblStyle w:val="Table"/>
        <w:tblW w:w="5000" w:type="pct"/>
        <w:tblLook w:val="0020" w:firstRow="1" w:lastRow="0" w:firstColumn="0" w:lastColumn="0" w:noHBand="0" w:noVBand="0"/>
      </w:tblPr>
      <w:tblGrid>
        <w:gridCol w:w="3946"/>
        <w:gridCol w:w="2069"/>
        <w:gridCol w:w="3345"/>
      </w:tblGrid>
      <w:tr w:rsidR="00392CC6" w14:paraId="38EDF1EC" w14:textId="77777777" w:rsidTr="00392CC6">
        <w:trPr>
          <w:cnfStyle w:val="100000000000" w:firstRow="1" w:lastRow="0" w:firstColumn="0" w:lastColumn="0" w:oddVBand="0" w:evenVBand="0" w:oddHBand="0" w:evenHBand="0" w:firstRowFirstColumn="0" w:firstRowLastColumn="0" w:lastRowFirstColumn="0" w:lastRowLastColumn="0"/>
          <w:tblHeader/>
        </w:trPr>
        <w:tc>
          <w:tcPr>
            <w:tcW w:w="0" w:type="auto"/>
          </w:tcPr>
          <w:p w14:paraId="32B5672F" w14:textId="77777777" w:rsidR="00392CC6" w:rsidRDefault="00C76AF3">
            <w:pPr>
              <w:pStyle w:val="Compact"/>
            </w:pPr>
            <w:r>
              <w:t>Gap</w:t>
            </w:r>
          </w:p>
        </w:tc>
        <w:tc>
          <w:tcPr>
            <w:tcW w:w="0" w:type="auto"/>
          </w:tcPr>
          <w:p w14:paraId="744431A4" w14:textId="77777777" w:rsidR="00392CC6" w:rsidRDefault="00C76AF3">
            <w:pPr>
              <w:pStyle w:val="Compact"/>
              <w:jc w:val="center"/>
            </w:pPr>
            <w:r>
              <w:t>Impact on Analysis</w:t>
            </w:r>
          </w:p>
        </w:tc>
        <w:tc>
          <w:tcPr>
            <w:tcW w:w="0" w:type="auto"/>
          </w:tcPr>
          <w:p w14:paraId="773149ED" w14:textId="77777777" w:rsidR="00392CC6" w:rsidRDefault="00C76AF3">
            <w:pPr>
              <w:pStyle w:val="Compact"/>
            </w:pPr>
            <w:r>
              <w:t>Source to Fill Gap</w:t>
            </w:r>
          </w:p>
        </w:tc>
      </w:tr>
      <w:tr w:rsidR="00392CC6" w14:paraId="57CDB6A3" w14:textId="77777777">
        <w:tc>
          <w:tcPr>
            <w:tcW w:w="0" w:type="auto"/>
          </w:tcPr>
          <w:p w14:paraId="1B66C912" w14:textId="77777777" w:rsidR="00392CC6" w:rsidRDefault="00C76AF3">
            <w:pPr>
              <w:pStyle w:val="Compact"/>
            </w:pPr>
            <w:r>
              <w:t>GDP in current colones, 1952–1964</w:t>
            </w:r>
          </w:p>
        </w:tc>
        <w:tc>
          <w:tcPr>
            <w:tcW w:w="0" w:type="auto"/>
          </w:tcPr>
          <w:p w14:paraId="513C8550" w14:textId="77777777" w:rsidR="00392CC6" w:rsidRDefault="00C76AF3">
            <w:pPr>
              <w:pStyle w:val="Compact"/>
              <w:jc w:val="center"/>
            </w:pPr>
            <w:r>
              <w:t>CRITICAL</w:t>
            </w:r>
          </w:p>
        </w:tc>
        <w:tc>
          <w:tcPr>
            <w:tcW w:w="0" w:type="auto"/>
          </w:tcPr>
          <w:p w14:paraId="19D33CBC" w14:textId="77777777" w:rsidR="00392CC6" w:rsidRDefault="00C76AF3">
            <w:pPr>
              <w:pStyle w:val="Compact"/>
            </w:pPr>
            <w:r>
              <w:t>BCR historical national accounts</w:t>
            </w:r>
          </w:p>
        </w:tc>
      </w:tr>
      <w:tr w:rsidR="00392CC6" w14:paraId="3C3431DA" w14:textId="77777777">
        <w:tc>
          <w:tcPr>
            <w:tcW w:w="0" w:type="auto"/>
          </w:tcPr>
          <w:p w14:paraId="09E469DA" w14:textId="77777777" w:rsidR="00392CC6" w:rsidRDefault="00C76AF3">
            <w:pPr>
              <w:pStyle w:val="Compact"/>
            </w:pPr>
            <w:r>
              <w:t>Disaggregated interest vs. amortization</w:t>
            </w:r>
          </w:p>
        </w:tc>
        <w:tc>
          <w:tcPr>
            <w:tcW w:w="0" w:type="auto"/>
          </w:tcPr>
          <w:p w14:paraId="1ABD937C" w14:textId="77777777" w:rsidR="00392CC6" w:rsidRDefault="00C76AF3">
            <w:pPr>
              <w:pStyle w:val="Compact"/>
              <w:jc w:val="center"/>
            </w:pPr>
            <w:r>
              <w:t>MODERATE</w:t>
            </w:r>
          </w:p>
        </w:tc>
        <w:tc>
          <w:tcPr>
            <w:tcW w:w="0" w:type="auto"/>
          </w:tcPr>
          <w:p w14:paraId="75CFB3DE" w14:textId="77777777" w:rsidR="00392CC6" w:rsidRDefault="00C76AF3">
            <w:pPr>
              <w:pStyle w:val="Compact"/>
            </w:pPr>
            <w:r>
              <w:t>Detailed annexes of Memorias</w:t>
            </w:r>
          </w:p>
        </w:tc>
      </w:tr>
      <w:tr w:rsidR="00392CC6" w14:paraId="2DC704A2" w14:textId="77777777">
        <w:tc>
          <w:tcPr>
            <w:tcW w:w="0" w:type="auto"/>
          </w:tcPr>
          <w:p w14:paraId="396948BE" w14:textId="77777777" w:rsidR="00392CC6" w:rsidRDefault="00C76AF3">
            <w:pPr>
              <w:pStyle w:val="Compact"/>
            </w:pPr>
            <w:r>
              <w:t>Customs revenue by commodity</w:t>
            </w:r>
          </w:p>
        </w:tc>
        <w:tc>
          <w:tcPr>
            <w:tcW w:w="0" w:type="auto"/>
          </w:tcPr>
          <w:p w14:paraId="171884FB" w14:textId="77777777" w:rsidR="00392CC6" w:rsidRDefault="00C76AF3">
            <w:pPr>
              <w:pStyle w:val="Compact"/>
              <w:jc w:val="center"/>
            </w:pPr>
            <w:r>
              <w:t>HIGH</w:t>
            </w:r>
          </w:p>
        </w:tc>
        <w:tc>
          <w:tcPr>
            <w:tcW w:w="0" w:type="auto"/>
          </w:tcPr>
          <w:p w14:paraId="22B25080" w14:textId="77777777" w:rsidR="00392CC6" w:rsidRDefault="00C76AF3">
            <w:pPr>
              <w:pStyle w:val="Compact"/>
            </w:pPr>
            <w:r>
              <w:t>Detailed revenue annexes</w:t>
            </w:r>
          </w:p>
        </w:tc>
      </w:tr>
      <w:tr w:rsidR="00392CC6" w14:paraId="29CCECAE" w14:textId="77777777">
        <w:tc>
          <w:tcPr>
            <w:tcW w:w="0" w:type="auto"/>
          </w:tcPr>
          <w:p w14:paraId="4709954A" w14:textId="77777777" w:rsidR="00392CC6" w:rsidRDefault="00C76AF3">
            <w:pPr>
              <w:pStyle w:val="Compact"/>
            </w:pPr>
            <w:r>
              <w:t>Population data by year</w:t>
            </w:r>
          </w:p>
        </w:tc>
        <w:tc>
          <w:tcPr>
            <w:tcW w:w="0" w:type="auto"/>
          </w:tcPr>
          <w:p w14:paraId="55B11AF0" w14:textId="77777777" w:rsidR="00392CC6" w:rsidRDefault="00C76AF3">
            <w:pPr>
              <w:pStyle w:val="Compact"/>
              <w:jc w:val="center"/>
            </w:pPr>
            <w:r>
              <w:t>MODERATE</w:t>
            </w:r>
          </w:p>
        </w:tc>
        <w:tc>
          <w:tcPr>
            <w:tcW w:w="0" w:type="auto"/>
          </w:tcPr>
          <w:p w14:paraId="066347FA" w14:textId="77777777" w:rsidR="00392CC6" w:rsidRDefault="00C76AF3">
            <w:pPr>
              <w:pStyle w:val="Compact"/>
            </w:pPr>
            <w:r>
              <w:t>Census/DIGESTYC records</w:t>
            </w:r>
          </w:p>
        </w:tc>
      </w:tr>
      <w:tr w:rsidR="00392CC6" w14:paraId="2C996663" w14:textId="77777777">
        <w:tc>
          <w:tcPr>
            <w:tcW w:w="0" w:type="auto"/>
          </w:tcPr>
          <w:p w14:paraId="35A0A528" w14:textId="77777777" w:rsidR="00392CC6" w:rsidRDefault="00C76AF3">
            <w:pPr>
              <w:pStyle w:val="Compact"/>
            </w:pPr>
            <w:r>
              <w:t>Off-budget fund disbursement details</w:t>
            </w:r>
          </w:p>
        </w:tc>
        <w:tc>
          <w:tcPr>
            <w:tcW w:w="0" w:type="auto"/>
          </w:tcPr>
          <w:p w14:paraId="6EECB01E" w14:textId="77777777" w:rsidR="00392CC6" w:rsidRDefault="00C76AF3">
            <w:pPr>
              <w:pStyle w:val="Compact"/>
              <w:jc w:val="center"/>
            </w:pPr>
            <w:r>
              <w:t>MODERATE</w:t>
            </w:r>
          </w:p>
        </w:tc>
        <w:tc>
          <w:tcPr>
            <w:tcW w:w="0" w:type="auto"/>
          </w:tcPr>
          <w:p w14:paraId="092D5EC5" w14:textId="77777777" w:rsidR="00392CC6" w:rsidRDefault="00C76AF3">
            <w:pPr>
              <w:pStyle w:val="Compact"/>
            </w:pPr>
            <w:r>
              <w:t>Extraordinary budget annexes</w:t>
            </w:r>
          </w:p>
        </w:tc>
      </w:tr>
    </w:tbl>
    <w:p w14:paraId="13F9ADFF" w14:textId="77777777" w:rsidR="00392CC6" w:rsidRDefault="00C76AF3">
      <w:pPr>
        <w:pStyle w:val="BodyText"/>
      </w:pPr>
      <w:r>
        <w:rPr>
          <w:b/>
          <w:bCs/>
        </w:rPr>
        <w:t>[This note should be updated when GDP data from the BCR for 1952–1964 becomes available, enabling computation of revenue/GDP, expenditure/GDP, and debt/GDP ratios — the core indicators for cross-country and inter-temporal fiscal comparison.]</w:t>
      </w:r>
    </w:p>
    <w:p w14:paraId="6C94D4CB" w14:textId="77777777" w:rsidR="00392CC6" w:rsidRDefault="00C76AF3">
      <w:r>
        <w:pict w14:anchorId="2B63D3BD">
          <v:rect id="_x0000_i1034" style="width:0;height:1.5pt" o:hralign="center" o:hrstd="t" o:hr="t"/>
        </w:pict>
      </w:r>
    </w:p>
    <w:p w14:paraId="24B462B0" w14:textId="77777777" w:rsidR="00392CC6" w:rsidRDefault="00C76AF3">
      <w:pPr>
        <w:pStyle w:val="FirstParagraph"/>
      </w:pPr>
      <w:r>
        <w:rPr>
          <w:i/>
          <w:iCs/>
        </w:rPr>
        <w:t>Source: Ministerio de Hacienda, Gobierno de El Salvador. Informes Complementarios Constitucionales, Ejercicios Fiscales de 1952 y 1953.</w:t>
      </w:r>
    </w:p>
    <w:p w14:paraId="373AC5FE" w14:textId="77777777" w:rsidR="00392CC6" w:rsidRDefault="00C76AF3">
      <w:pPr>
        <w:pStyle w:val="BodyText"/>
      </w:pPr>
      <w:r>
        <w:rPr>
          <w:i/>
          <w:iCs/>
        </w:rPr>
        <w:t>Technical note prepared from scanned primary documents held in the repository: chepito61/El-Salvador-s-Political-Economy-of-Fiscal-Policy-1953-1980.</w:t>
      </w:r>
    </w:p>
    <w:p w14:paraId="64CA62C2" w14:textId="77777777" w:rsidR="00392CC6" w:rsidRDefault="00C76AF3">
      <w:pPr>
        <w:pStyle w:val="BodyText"/>
      </w:pPr>
      <w:r>
        <w:rPr>
          <w:i/>
          <w:iCs/>
        </w:rPr>
        <w:t>Analytical framework follows IMF Fiscal Transparency Code (2019), IMF Debt Sustainability Analysis for Low-Income Countries framework, and standard public financial management diagnostic methodology.</w:t>
      </w:r>
      <w:bookmarkEnd w:id="0"/>
      <w:bookmarkEnd w:id="25"/>
      <w:bookmarkEnd w:id="28"/>
    </w:p>
    <w:sectPr w:rsidR="00392C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9BF66" w14:textId="77777777" w:rsidR="00C76AF3" w:rsidRDefault="00C76AF3">
      <w:pPr>
        <w:spacing w:after="0"/>
      </w:pPr>
      <w:r>
        <w:separator/>
      </w:r>
    </w:p>
  </w:endnote>
  <w:endnote w:type="continuationSeparator" w:id="0">
    <w:p w14:paraId="55E8AEC7" w14:textId="77777777" w:rsidR="00C76AF3" w:rsidRDefault="00C76A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7B93C" w14:textId="77777777" w:rsidR="00C76AF3" w:rsidRDefault="00C76AF3">
      <w:r>
        <w:separator/>
      </w:r>
    </w:p>
  </w:footnote>
  <w:footnote w:type="continuationSeparator" w:id="0">
    <w:p w14:paraId="73BFA74D" w14:textId="77777777" w:rsidR="00C76AF3" w:rsidRDefault="00C76A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7E79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2B6CE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EA4F0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7646439">
    <w:abstractNumId w:val="0"/>
  </w:num>
  <w:num w:numId="2" w16cid:durableId="1502969446">
    <w:abstractNumId w:val="1"/>
  </w:num>
  <w:num w:numId="3" w16cid:durableId="1060665566">
    <w:abstractNumId w:val="1"/>
  </w:num>
  <w:num w:numId="4" w16cid:durableId="476605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C6"/>
    <w:rsid w:val="00392CC6"/>
    <w:rsid w:val="007F67D5"/>
    <w:rsid w:val="00C76AF3"/>
    <w:rsid w:val="00EC091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2CAD"/>
  <w15:docId w15:val="{9AC8D43E-2B29-4A12-8BBC-DC12F2D2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2493</Words>
  <Characters>15262</Characters>
  <Application>Microsoft Office Word</Application>
  <DocSecurity>0</DocSecurity>
  <Lines>693</Lines>
  <Paragraphs>572</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Salvador: Fiscal Diagnostic and Vulnerability Assessment, 1952���1953</dc:title>
  <dc:creator>Jose Larios</dc:creator>
  <cp:keywords/>
  <cp:lastModifiedBy>Jose Larios</cp:lastModifiedBy>
  <cp:revision>2</cp:revision>
  <dcterms:created xsi:type="dcterms:W3CDTF">2026-03-29T00:59:00Z</dcterms:created>
  <dcterms:modified xsi:type="dcterms:W3CDTF">2026-03-29T00:59:00Z</dcterms:modified>
</cp:coreProperties>
</file>