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97F0" w14:textId="77777777" w:rsidR="007F0800" w:rsidRDefault="00AB12A8">
      <w:pPr>
        <w:pStyle w:val="Heading1"/>
      </w:pPr>
      <w:bookmarkStart w:id="0" w:name="X902ac9a6322a0276565281999b03f5ead59d865"/>
      <w:r>
        <w:t>El Salvador: Fiscal Diagnostic and Vulnerability Assessment, 1954</w:t>
      </w:r>
    </w:p>
    <w:p w14:paraId="1E61B53F" w14:textId="77777777" w:rsidR="007F0800" w:rsidRDefault="00AB12A8">
      <w:pPr>
        <w:pStyle w:val="FirstParagraph"/>
      </w:pPr>
      <w:r>
        <w:rPr>
          <w:b/>
          <w:bCs/>
        </w:rPr>
        <w:t>Technical Note — Assessment Based on Primary Fiscal Data</w:t>
      </w:r>
    </w:p>
    <w:p w14:paraId="2572EA4F" w14:textId="77777777" w:rsidR="007F0800" w:rsidRDefault="00AB12A8">
      <w:r>
        <w:pict w14:anchorId="17E26725">
          <v:rect id="_x0000_i1025" style="width:0;height:1.5pt" o:hralign="center" o:hrstd="t" o:hr="t"/>
        </w:pict>
      </w:r>
    </w:p>
    <w:p w14:paraId="4493A9EC" w14:textId="77777777" w:rsidR="007F0800" w:rsidRDefault="00AB12A8">
      <w:pPr>
        <w:pStyle w:val="Heading2"/>
      </w:pPr>
      <w:bookmarkStart w:id="1" w:name="executive-summary"/>
      <w:r>
        <w:t>Executive Summary</w:t>
      </w:r>
    </w:p>
    <w:p w14:paraId="6FEA98AD" w14:textId="77777777" w:rsidR="007F0800" w:rsidRDefault="00AB12A8">
      <w:pPr>
        <w:pStyle w:val="FirstParagraph"/>
      </w:pPr>
      <w:r>
        <w:t>This note presents a fiscal diagnostic for El Salvador covering fiscal year 1954, drawing on data from the Informe Complementario Constitucional (Memoria de Hacienda) for that year. The analysis applies standard fiscal assessment frameworks to evaluate the structural soundness and vulnerability of El Salvador’s fiscal position at what proved to be the peak of the post-Korean War commodity boom.</w:t>
      </w:r>
    </w:p>
    <w:p w14:paraId="15F00BCD" w14:textId="77777777" w:rsidR="007F0800" w:rsidRDefault="00AB12A8">
      <w:pPr>
        <w:pStyle w:val="BodyText"/>
      </w:pPr>
      <w:r>
        <w:rPr>
          <w:b/>
          <w:bCs/>
        </w:rPr>
        <w:t>Key findings:</w:t>
      </w:r>
    </w:p>
    <w:p w14:paraId="35018121" w14:textId="77777777" w:rsidR="007F0800" w:rsidRDefault="00AB12A8">
      <w:pPr>
        <w:pStyle w:val="Compact"/>
        <w:numPr>
          <w:ilvl w:val="0"/>
          <w:numId w:val="2"/>
        </w:numPr>
      </w:pPr>
      <w:r>
        <w:rPr>
          <w:b/>
          <w:bCs/>
        </w:rPr>
        <w:t>1954 was the fiscal apex of the Osorio administration.</w:t>
      </w:r>
      <w:r>
        <w:t xml:space="preserve"> Revenue surged 19% to ₡167.4 million, the headline surplus reached ₡25.0 million (14.9% of revenue), and the Superávit Financiero quadrupled from ₡5.5 million to ₡20.0 million. The government had maximum fiscal space.</w:t>
      </w:r>
    </w:p>
    <w:p w14:paraId="15C397AC" w14:textId="77777777" w:rsidR="007F0800" w:rsidRDefault="00AB12A8">
      <w:pPr>
        <w:pStyle w:val="Compact"/>
        <w:numPr>
          <w:ilvl w:val="0"/>
          <w:numId w:val="2"/>
        </w:numPr>
      </w:pPr>
      <w:r>
        <w:rPr>
          <w:b/>
          <w:bCs/>
        </w:rPr>
        <w:t>Revenue concentration remained extreme</w:t>
      </w:r>
      <w:r>
        <w:t xml:space="preserve"> — and worsened. Taxes accounted for 92.3% of total revenue, with import and export duties together constituting 59.5% of total revenue. Coffee export duties alone (₡46.2 million) represented 27.6% of all government income, up from an estimated 14.3% in 1948 before Decreto 836.</w:t>
      </w:r>
    </w:p>
    <w:p w14:paraId="0B9E5C4E" w14:textId="77777777" w:rsidR="007F0800" w:rsidRDefault="00AB12A8">
      <w:pPr>
        <w:pStyle w:val="Compact"/>
        <w:numPr>
          <w:ilvl w:val="0"/>
          <w:numId w:val="2"/>
        </w:numPr>
      </w:pPr>
      <w:r>
        <w:rPr>
          <w:b/>
          <w:bCs/>
        </w:rPr>
        <w:t>The income tax remained structurally constrained</w:t>
      </w:r>
      <w:r>
        <w:t xml:space="preserve"> at 6.4% of total revenue, essentially flat versus 1953. The 1951 reform’s maximum corporate rate of 5% and the coffee growers’ exemption under Decreto 836 ensured that the wealthiest segments of the economy contributed minimally to income tax revenue.</w:t>
      </w:r>
    </w:p>
    <w:p w14:paraId="5547E65D" w14:textId="77777777" w:rsidR="007F0800" w:rsidRDefault="00AB12A8">
      <w:pPr>
        <w:pStyle w:val="Compact"/>
        <w:numPr>
          <w:ilvl w:val="0"/>
          <w:numId w:val="2"/>
        </w:numPr>
      </w:pPr>
      <w:r>
        <w:rPr>
          <w:b/>
          <w:bCs/>
        </w:rPr>
        <w:t>Expenditure priorities shifted toward social spending.</w:t>
      </w:r>
      <w:r>
        <w:t xml:space="preserve"> Education displaced Public Works as the largest spending category at 18.1% of the budget, and health reached 10.0%. Combined social spending (education + health) at 28.1% represented a historic high.</w:t>
      </w:r>
    </w:p>
    <w:p w14:paraId="425D694F" w14:textId="77777777" w:rsidR="007F0800" w:rsidRDefault="00AB12A8">
      <w:pPr>
        <w:pStyle w:val="Compact"/>
        <w:numPr>
          <w:ilvl w:val="0"/>
          <w:numId w:val="2"/>
        </w:numPr>
      </w:pPr>
      <w:r>
        <w:rPr>
          <w:b/>
          <w:bCs/>
        </w:rPr>
        <w:t>The consolidated security apparatus consumed approximately 20.6% of total spending</w:t>
      </w:r>
      <w:r>
        <w:t xml:space="preserve"> — substantially higher than the headline Defense figure of 13.4%, reflecting the distribution of coercive state capacity across Defensa Nacional, Seguridad Pública, and the security functions within Gobernación.</w:t>
      </w:r>
    </w:p>
    <w:p w14:paraId="149DC847" w14:textId="77777777" w:rsidR="007F0800" w:rsidRDefault="00AB12A8">
      <w:pPr>
        <w:pStyle w:val="Compact"/>
        <w:numPr>
          <w:ilvl w:val="0"/>
          <w:numId w:val="2"/>
        </w:numPr>
      </w:pPr>
      <w:r>
        <w:rPr>
          <w:b/>
          <w:bCs/>
        </w:rPr>
        <w:t>Debt service fell to a historic low of 3.3% of expenditure</w:t>
      </w:r>
      <w:r>
        <w:t xml:space="preserve"> (2.8% of revenue), the lightest burden in the four-year series and near the all-time trough that Pleites identifies for 1951–1953.</w:t>
      </w:r>
    </w:p>
    <w:p w14:paraId="041917B3" w14:textId="77777777" w:rsidR="007F0800" w:rsidRDefault="00AB12A8">
      <w:pPr>
        <w:pStyle w:val="Compact"/>
        <w:numPr>
          <w:ilvl w:val="0"/>
          <w:numId w:val="2"/>
        </w:numPr>
      </w:pPr>
      <w:r>
        <w:rPr>
          <w:b/>
          <w:bCs/>
        </w:rPr>
        <w:t>The wage bill at 49.1% of expenditure was approaching the 50% critical threshold</w:t>
      </w:r>
      <w:r>
        <w:t>, continuing the upward trend from 48.2% in 1952.</w:t>
      </w:r>
    </w:p>
    <w:p w14:paraId="51AEE194" w14:textId="77777777" w:rsidR="007F0800" w:rsidRDefault="00AB12A8">
      <w:pPr>
        <w:pStyle w:val="FirstParagraph"/>
      </w:pPr>
      <w:r>
        <w:rPr>
          <w:b/>
          <w:bCs/>
        </w:rPr>
        <w:t>Currency note:</w:t>
      </w:r>
      <w:r>
        <w:t xml:space="preserve"> El Salvador maintained a fixed exchange rate of US$1.00 = ₡2.50 (colones) throughout the period under study. All figures are in colones unless otherwise indicated.</w:t>
      </w:r>
    </w:p>
    <w:p w14:paraId="3D10C368" w14:textId="77777777" w:rsidR="007F0800" w:rsidRDefault="00AB12A8">
      <w:r>
        <w:pict w14:anchorId="639BBDC5">
          <v:rect id="_x0000_i1026" style="width:0;height:1.5pt" o:hralign="center" o:hrstd="t" o:hr="t"/>
        </w:pict>
      </w:r>
    </w:p>
    <w:p w14:paraId="4725420D" w14:textId="77777777" w:rsidR="007F0800" w:rsidRDefault="00AB12A8">
      <w:pPr>
        <w:pStyle w:val="Heading2"/>
      </w:pPr>
      <w:bookmarkStart w:id="2" w:name="fiscal-accounts-summary"/>
      <w:bookmarkEnd w:id="1"/>
      <w:r>
        <w:t>1. Fiscal Accounts Summary</w:t>
      </w:r>
    </w:p>
    <w:p w14:paraId="7B63BB52" w14:textId="77777777" w:rsidR="007F0800" w:rsidRDefault="00AB12A8">
      <w:pPr>
        <w:pStyle w:val="Heading3"/>
      </w:pPr>
      <w:bookmarkStart w:id="3" w:name="overall-fiscal-position"/>
      <w:r>
        <w:t>1.1 Overall Fiscal Position</w:t>
      </w:r>
    </w:p>
    <w:tbl>
      <w:tblPr>
        <w:tblStyle w:val="Table"/>
        <w:tblW w:w="0" w:type="auto"/>
        <w:tblLook w:val="0020" w:firstRow="1" w:lastRow="0" w:firstColumn="0" w:lastColumn="0" w:noHBand="0" w:noVBand="0"/>
      </w:tblPr>
      <w:tblGrid>
        <w:gridCol w:w="4554"/>
        <w:gridCol w:w="1644"/>
      </w:tblGrid>
      <w:tr w:rsidR="007F0800" w14:paraId="2C399E00"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3C162762" w14:textId="77777777" w:rsidR="007F0800" w:rsidRDefault="00AB12A8">
            <w:pPr>
              <w:pStyle w:val="Compact"/>
            </w:pPr>
            <w:r>
              <w:t>Indicator</w:t>
            </w:r>
          </w:p>
        </w:tc>
        <w:tc>
          <w:tcPr>
            <w:tcW w:w="0" w:type="auto"/>
          </w:tcPr>
          <w:p w14:paraId="38F1B856" w14:textId="77777777" w:rsidR="007F0800" w:rsidRDefault="00AB12A8">
            <w:pPr>
              <w:pStyle w:val="Compact"/>
              <w:jc w:val="center"/>
            </w:pPr>
            <w:r>
              <w:t>1954</w:t>
            </w:r>
          </w:p>
        </w:tc>
      </w:tr>
      <w:tr w:rsidR="007F0800" w14:paraId="148DD524" w14:textId="77777777">
        <w:tc>
          <w:tcPr>
            <w:tcW w:w="0" w:type="auto"/>
          </w:tcPr>
          <w:p w14:paraId="396F28E9" w14:textId="77777777" w:rsidR="007F0800" w:rsidRPr="001C1233" w:rsidRDefault="00AB12A8">
            <w:pPr>
              <w:pStyle w:val="Compact"/>
              <w:rPr>
                <w:lang w:val="es-SV"/>
              </w:rPr>
            </w:pPr>
            <w:r w:rsidRPr="001C1233">
              <w:rPr>
                <w:lang w:val="es-SV"/>
              </w:rPr>
              <w:t>Total Revenue (percibidas y devengadas)</w:t>
            </w:r>
          </w:p>
        </w:tc>
        <w:tc>
          <w:tcPr>
            <w:tcW w:w="0" w:type="auto"/>
          </w:tcPr>
          <w:p w14:paraId="78815459" w14:textId="77777777" w:rsidR="007F0800" w:rsidRDefault="00AB12A8">
            <w:pPr>
              <w:pStyle w:val="Compact"/>
              <w:jc w:val="center"/>
            </w:pPr>
            <w:r>
              <w:t>₡</w:t>
            </w:r>
            <w:r>
              <w:t>167,425,998</w:t>
            </w:r>
          </w:p>
        </w:tc>
      </w:tr>
      <w:tr w:rsidR="007F0800" w14:paraId="1B686392" w14:textId="77777777">
        <w:tc>
          <w:tcPr>
            <w:tcW w:w="0" w:type="auto"/>
          </w:tcPr>
          <w:p w14:paraId="203694D4" w14:textId="77777777" w:rsidR="007F0800" w:rsidRDefault="00AB12A8">
            <w:pPr>
              <w:pStyle w:val="Compact"/>
            </w:pPr>
            <w:r>
              <w:t>Total Expenditure (General Fund)</w:t>
            </w:r>
          </w:p>
        </w:tc>
        <w:tc>
          <w:tcPr>
            <w:tcW w:w="0" w:type="auto"/>
          </w:tcPr>
          <w:p w14:paraId="68F85F2E" w14:textId="77777777" w:rsidR="007F0800" w:rsidRDefault="00AB12A8">
            <w:pPr>
              <w:pStyle w:val="Compact"/>
              <w:jc w:val="center"/>
            </w:pPr>
            <w:r>
              <w:t>₡</w:t>
            </w:r>
            <w:r>
              <w:t>142,426,810</w:t>
            </w:r>
          </w:p>
        </w:tc>
      </w:tr>
      <w:tr w:rsidR="007F0800" w14:paraId="4EF9E769" w14:textId="77777777">
        <w:tc>
          <w:tcPr>
            <w:tcW w:w="0" w:type="auto"/>
          </w:tcPr>
          <w:p w14:paraId="0EC0952F" w14:textId="77777777" w:rsidR="007F0800" w:rsidRDefault="00AB12A8">
            <w:pPr>
              <w:pStyle w:val="Compact"/>
            </w:pPr>
            <w:r>
              <w:rPr>
                <w:b/>
                <w:bCs/>
              </w:rPr>
              <w:t>Headline Fiscal Balance (General Fund)</w:t>
            </w:r>
          </w:p>
        </w:tc>
        <w:tc>
          <w:tcPr>
            <w:tcW w:w="0" w:type="auto"/>
          </w:tcPr>
          <w:p w14:paraId="0D27E7F2" w14:textId="77777777" w:rsidR="007F0800" w:rsidRDefault="00AB12A8">
            <w:pPr>
              <w:pStyle w:val="Compact"/>
              <w:jc w:val="center"/>
            </w:pPr>
            <w:r>
              <w:rPr>
                <w:b/>
                <w:bCs/>
              </w:rPr>
              <w:t>₡</w:t>
            </w:r>
            <w:r>
              <w:rPr>
                <w:b/>
                <w:bCs/>
              </w:rPr>
              <w:t>24,999,188</w:t>
            </w:r>
          </w:p>
        </w:tc>
      </w:tr>
      <w:tr w:rsidR="007F0800" w14:paraId="3F51C524" w14:textId="77777777">
        <w:tc>
          <w:tcPr>
            <w:tcW w:w="0" w:type="auto"/>
          </w:tcPr>
          <w:p w14:paraId="642F7F55" w14:textId="77777777" w:rsidR="007F0800" w:rsidRDefault="00AB12A8">
            <w:pPr>
              <w:pStyle w:val="Compact"/>
            </w:pPr>
            <w:r>
              <w:t>Headline Balance as % of Revenue</w:t>
            </w:r>
          </w:p>
        </w:tc>
        <w:tc>
          <w:tcPr>
            <w:tcW w:w="0" w:type="auto"/>
          </w:tcPr>
          <w:p w14:paraId="0D34D811" w14:textId="77777777" w:rsidR="007F0800" w:rsidRDefault="00AB12A8">
            <w:pPr>
              <w:pStyle w:val="Compact"/>
              <w:jc w:val="center"/>
            </w:pPr>
            <w:r>
              <w:t>14.9%</w:t>
            </w:r>
          </w:p>
        </w:tc>
      </w:tr>
      <w:tr w:rsidR="007F0800" w14:paraId="6E8DAE5B" w14:textId="77777777">
        <w:tc>
          <w:tcPr>
            <w:tcW w:w="0" w:type="auto"/>
          </w:tcPr>
          <w:p w14:paraId="3F04BC10" w14:textId="77777777" w:rsidR="007F0800" w:rsidRDefault="00AB12A8">
            <w:pPr>
              <w:pStyle w:val="Compact"/>
            </w:pPr>
            <w:r>
              <w:t>Superávit Financiero Inicial (from 1953)</w:t>
            </w:r>
          </w:p>
        </w:tc>
        <w:tc>
          <w:tcPr>
            <w:tcW w:w="0" w:type="auto"/>
          </w:tcPr>
          <w:p w14:paraId="33AF7E51" w14:textId="77777777" w:rsidR="007F0800" w:rsidRDefault="00AB12A8">
            <w:pPr>
              <w:pStyle w:val="Compact"/>
              <w:jc w:val="center"/>
            </w:pPr>
            <w:r>
              <w:t>₡</w:t>
            </w:r>
            <w:r>
              <w:t>5,466,535</w:t>
            </w:r>
          </w:p>
        </w:tc>
      </w:tr>
      <w:tr w:rsidR="007F0800" w14:paraId="4862A33A" w14:textId="77777777">
        <w:tc>
          <w:tcPr>
            <w:tcW w:w="0" w:type="auto"/>
          </w:tcPr>
          <w:p w14:paraId="4C66DD75" w14:textId="77777777" w:rsidR="007F0800" w:rsidRDefault="00AB12A8">
            <w:pPr>
              <w:pStyle w:val="Compact"/>
            </w:pPr>
            <w:r>
              <w:t>Superávit Financiero Final (end-1954)</w:t>
            </w:r>
          </w:p>
        </w:tc>
        <w:tc>
          <w:tcPr>
            <w:tcW w:w="0" w:type="auto"/>
          </w:tcPr>
          <w:p w14:paraId="214AA9D9" w14:textId="77777777" w:rsidR="007F0800" w:rsidRDefault="00AB12A8">
            <w:pPr>
              <w:pStyle w:val="Compact"/>
              <w:jc w:val="center"/>
            </w:pPr>
            <w:r>
              <w:t>₡</w:t>
            </w:r>
            <w:r>
              <w:t>20,022,615</w:t>
            </w:r>
          </w:p>
        </w:tc>
      </w:tr>
      <w:tr w:rsidR="007F0800" w14:paraId="2BA9C62A" w14:textId="77777777">
        <w:tc>
          <w:tcPr>
            <w:tcW w:w="0" w:type="auto"/>
          </w:tcPr>
          <w:p w14:paraId="0B1CC728" w14:textId="77777777" w:rsidR="007F0800" w:rsidRDefault="00AB12A8">
            <w:pPr>
              <w:pStyle w:val="Compact"/>
            </w:pPr>
            <w:r>
              <w:t>Authorized Allocations</w:t>
            </w:r>
          </w:p>
        </w:tc>
        <w:tc>
          <w:tcPr>
            <w:tcW w:w="0" w:type="auto"/>
          </w:tcPr>
          <w:p w14:paraId="6A111043" w14:textId="77777777" w:rsidR="007F0800" w:rsidRDefault="00AB12A8">
            <w:pPr>
              <w:pStyle w:val="Compact"/>
              <w:jc w:val="center"/>
            </w:pPr>
            <w:r>
              <w:t>₡</w:t>
            </w:r>
            <w:r>
              <w:t>161,030,125</w:t>
            </w:r>
          </w:p>
        </w:tc>
      </w:tr>
      <w:tr w:rsidR="007F0800" w14:paraId="06B6E12B" w14:textId="77777777">
        <w:tc>
          <w:tcPr>
            <w:tcW w:w="0" w:type="auto"/>
          </w:tcPr>
          <w:p w14:paraId="2B23FB59" w14:textId="77777777" w:rsidR="007F0800" w:rsidRDefault="00AB12A8">
            <w:pPr>
              <w:pStyle w:val="Compact"/>
            </w:pPr>
            <w:r>
              <w:t>Utilization Rate</w:t>
            </w:r>
          </w:p>
        </w:tc>
        <w:tc>
          <w:tcPr>
            <w:tcW w:w="0" w:type="auto"/>
          </w:tcPr>
          <w:p w14:paraId="1E6E40C1" w14:textId="77777777" w:rsidR="007F0800" w:rsidRDefault="00AB12A8">
            <w:pPr>
              <w:pStyle w:val="Compact"/>
              <w:jc w:val="center"/>
            </w:pPr>
            <w:r>
              <w:t>88.4%</w:t>
            </w:r>
          </w:p>
        </w:tc>
      </w:tr>
    </w:tbl>
    <w:p w14:paraId="30E8D2D0" w14:textId="77777777" w:rsidR="007F0800" w:rsidRDefault="00AB12A8">
      <w:pPr>
        <w:pStyle w:val="BodyText"/>
      </w:pPr>
      <w:r>
        <w:t>The General Fund recorded a headline surplus of approximately ₡25 million — the largest in absolute terms in the series. The Superávit Financiero improved dramatically from ₡5.5 million to ₡20.0 million — a nearly fourfold increase reflecting both the revenue boom and disciplined budget execution through the quota system.</w:t>
      </w:r>
    </w:p>
    <w:p w14:paraId="6EEC4522" w14:textId="77777777" w:rsidR="007F0800" w:rsidRDefault="00AB12A8">
      <w:pPr>
        <w:pStyle w:val="BodyText"/>
      </w:pPr>
      <w:r>
        <w:rPr>
          <w:b/>
          <w:bCs/>
        </w:rPr>
        <w:t>Interpretation:</w:t>
      </w:r>
      <w:r>
        <w:t xml:space="preserve"> The 1954 fiscal position represents the strongest performance recorded in the 1952–1954 series. Revenue exceeded estimates by 13.5%, the surplus was comfortable, and the government’s cash position improved dramatically. However, this strength was overwhelmingly driven by favorable external conditions (coffee prices) rather than by structural improvements in the domestic tax base. The same revenue structure that produced a ₡25 million surplus when coffee prices were high could produce a deficit when they fe</w:t>
      </w:r>
      <w:r>
        <w:t>ll.</w:t>
      </w:r>
    </w:p>
    <w:p w14:paraId="792525CE" w14:textId="77777777" w:rsidR="007F0800" w:rsidRDefault="00AB12A8">
      <w:pPr>
        <w:pStyle w:val="Heading3"/>
      </w:pPr>
      <w:bookmarkStart w:id="4" w:name="revenue-performance"/>
      <w:bookmarkEnd w:id="3"/>
      <w:r>
        <w:t>1.2 Revenue Performance</w:t>
      </w:r>
    </w:p>
    <w:tbl>
      <w:tblPr>
        <w:tblStyle w:val="Table"/>
        <w:tblW w:w="0" w:type="auto"/>
        <w:tblLook w:val="0020" w:firstRow="1" w:lastRow="0" w:firstColumn="0" w:lastColumn="0" w:noHBand="0" w:noVBand="0"/>
      </w:tblPr>
      <w:tblGrid>
        <w:gridCol w:w="4580"/>
        <w:gridCol w:w="1661"/>
        <w:gridCol w:w="1661"/>
        <w:gridCol w:w="1458"/>
      </w:tblGrid>
      <w:tr w:rsidR="007F0800" w14:paraId="01BFCBCB"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212844CD" w14:textId="77777777" w:rsidR="007F0800" w:rsidRDefault="00AB12A8">
            <w:pPr>
              <w:pStyle w:val="Compact"/>
            </w:pPr>
            <w:r>
              <w:t>Revenue Indicator</w:t>
            </w:r>
          </w:p>
        </w:tc>
        <w:tc>
          <w:tcPr>
            <w:tcW w:w="0" w:type="auto"/>
          </w:tcPr>
          <w:p w14:paraId="20E434C8" w14:textId="77777777" w:rsidR="007F0800" w:rsidRDefault="00AB12A8">
            <w:pPr>
              <w:pStyle w:val="Compact"/>
              <w:jc w:val="center"/>
            </w:pPr>
            <w:r>
              <w:t>1953</w:t>
            </w:r>
          </w:p>
        </w:tc>
        <w:tc>
          <w:tcPr>
            <w:tcW w:w="0" w:type="auto"/>
          </w:tcPr>
          <w:p w14:paraId="6DC99AFE" w14:textId="77777777" w:rsidR="007F0800" w:rsidRDefault="00AB12A8">
            <w:pPr>
              <w:pStyle w:val="Compact"/>
              <w:jc w:val="center"/>
            </w:pPr>
            <w:r>
              <w:t>1954</w:t>
            </w:r>
          </w:p>
        </w:tc>
        <w:tc>
          <w:tcPr>
            <w:tcW w:w="0" w:type="auto"/>
          </w:tcPr>
          <w:p w14:paraId="6A4C0745" w14:textId="77777777" w:rsidR="007F0800" w:rsidRDefault="00AB12A8">
            <w:pPr>
              <w:pStyle w:val="Compact"/>
              <w:jc w:val="center"/>
            </w:pPr>
            <w:r>
              <w:t>Change</w:t>
            </w:r>
          </w:p>
        </w:tc>
      </w:tr>
      <w:tr w:rsidR="007F0800" w14:paraId="1CABAF63" w14:textId="77777777">
        <w:tc>
          <w:tcPr>
            <w:tcW w:w="0" w:type="auto"/>
          </w:tcPr>
          <w:p w14:paraId="35F9E989" w14:textId="77777777" w:rsidR="007F0800" w:rsidRDefault="00AB12A8">
            <w:pPr>
              <w:pStyle w:val="Compact"/>
            </w:pPr>
            <w:r>
              <w:t>Total Revenue</w:t>
            </w:r>
          </w:p>
        </w:tc>
        <w:tc>
          <w:tcPr>
            <w:tcW w:w="0" w:type="auto"/>
          </w:tcPr>
          <w:p w14:paraId="4F810EDA" w14:textId="77777777" w:rsidR="007F0800" w:rsidRDefault="00AB12A8">
            <w:pPr>
              <w:pStyle w:val="Compact"/>
              <w:jc w:val="center"/>
            </w:pPr>
            <w:r>
              <w:t>₡</w:t>
            </w:r>
            <w:r>
              <w:t>140.3 million</w:t>
            </w:r>
          </w:p>
        </w:tc>
        <w:tc>
          <w:tcPr>
            <w:tcW w:w="0" w:type="auto"/>
          </w:tcPr>
          <w:p w14:paraId="2523A91F" w14:textId="77777777" w:rsidR="007F0800" w:rsidRDefault="00AB12A8">
            <w:pPr>
              <w:pStyle w:val="Compact"/>
              <w:jc w:val="center"/>
            </w:pPr>
            <w:r>
              <w:t>₡</w:t>
            </w:r>
            <w:r>
              <w:t>167.4 million</w:t>
            </w:r>
          </w:p>
        </w:tc>
        <w:tc>
          <w:tcPr>
            <w:tcW w:w="0" w:type="auto"/>
          </w:tcPr>
          <w:p w14:paraId="641BE1A0" w14:textId="77777777" w:rsidR="007F0800" w:rsidRDefault="00AB12A8">
            <w:pPr>
              <w:pStyle w:val="Compact"/>
              <w:jc w:val="center"/>
            </w:pPr>
            <w:r>
              <w:t>+19.3%</w:t>
            </w:r>
          </w:p>
        </w:tc>
      </w:tr>
      <w:tr w:rsidR="007F0800" w14:paraId="796E75E6" w14:textId="77777777">
        <w:tc>
          <w:tcPr>
            <w:tcW w:w="0" w:type="auto"/>
          </w:tcPr>
          <w:p w14:paraId="017430E6" w14:textId="77777777" w:rsidR="007F0800" w:rsidRDefault="00AB12A8">
            <w:pPr>
              <w:pStyle w:val="Compact"/>
            </w:pPr>
            <w:r>
              <w:t>Impuestos (taxes) as % of total</w:t>
            </w:r>
          </w:p>
        </w:tc>
        <w:tc>
          <w:tcPr>
            <w:tcW w:w="0" w:type="auto"/>
          </w:tcPr>
          <w:p w14:paraId="6184A96A" w14:textId="77777777" w:rsidR="007F0800" w:rsidRDefault="00AB12A8">
            <w:pPr>
              <w:pStyle w:val="Compact"/>
              <w:jc w:val="center"/>
            </w:pPr>
            <w:r>
              <w:t>86.7%</w:t>
            </w:r>
          </w:p>
        </w:tc>
        <w:tc>
          <w:tcPr>
            <w:tcW w:w="0" w:type="auto"/>
          </w:tcPr>
          <w:p w14:paraId="39643AC0" w14:textId="77777777" w:rsidR="007F0800" w:rsidRDefault="00AB12A8">
            <w:pPr>
              <w:pStyle w:val="Compact"/>
              <w:jc w:val="center"/>
            </w:pPr>
            <w:r>
              <w:t>92.3%</w:t>
            </w:r>
          </w:p>
        </w:tc>
        <w:tc>
          <w:tcPr>
            <w:tcW w:w="0" w:type="auto"/>
          </w:tcPr>
          <w:p w14:paraId="552EA4A0" w14:textId="77777777" w:rsidR="007F0800" w:rsidRDefault="00AB12A8">
            <w:pPr>
              <w:pStyle w:val="Compact"/>
              <w:jc w:val="center"/>
            </w:pPr>
            <w:r>
              <w:t>↑ worsening</w:t>
            </w:r>
          </w:p>
        </w:tc>
      </w:tr>
      <w:tr w:rsidR="007F0800" w14:paraId="581A3545" w14:textId="77777777">
        <w:tc>
          <w:tcPr>
            <w:tcW w:w="0" w:type="auto"/>
          </w:tcPr>
          <w:p w14:paraId="1DADE85A" w14:textId="77777777" w:rsidR="007F0800" w:rsidRDefault="00AB12A8">
            <w:pPr>
              <w:pStyle w:val="Compact"/>
            </w:pPr>
            <w:r>
              <w:t>Import duties (₡ millions)</w:t>
            </w:r>
          </w:p>
        </w:tc>
        <w:tc>
          <w:tcPr>
            <w:tcW w:w="0" w:type="auto"/>
          </w:tcPr>
          <w:p w14:paraId="33B77879" w14:textId="77777777" w:rsidR="007F0800" w:rsidRDefault="00AB12A8">
            <w:pPr>
              <w:pStyle w:val="Compact"/>
              <w:jc w:val="center"/>
            </w:pPr>
            <w:r>
              <w:t>48.6</w:t>
            </w:r>
          </w:p>
        </w:tc>
        <w:tc>
          <w:tcPr>
            <w:tcW w:w="0" w:type="auto"/>
          </w:tcPr>
          <w:p w14:paraId="20958124" w14:textId="77777777" w:rsidR="007F0800" w:rsidRDefault="00AB12A8">
            <w:pPr>
              <w:pStyle w:val="Compact"/>
              <w:jc w:val="center"/>
            </w:pPr>
            <w:r>
              <w:t>53.5</w:t>
            </w:r>
          </w:p>
        </w:tc>
        <w:tc>
          <w:tcPr>
            <w:tcW w:w="0" w:type="auto"/>
          </w:tcPr>
          <w:p w14:paraId="22880AFC" w14:textId="77777777" w:rsidR="007F0800" w:rsidRDefault="00AB12A8">
            <w:pPr>
              <w:pStyle w:val="Compact"/>
              <w:jc w:val="center"/>
            </w:pPr>
            <w:r>
              <w:t>+10.1%</w:t>
            </w:r>
          </w:p>
        </w:tc>
      </w:tr>
      <w:tr w:rsidR="007F0800" w14:paraId="404F9B3E" w14:textId="77777777">
        <w:tc>
          <w:tcPr>
            <w:tcW w:w="0" w:type="auto"/>
          </w:tcPr>
          <w:p w14:paraId="007A7C1A" w14:textId="77777777" w:rsidR="007F0800" w:rsidRDefault="00AB12A8">
            <w:pPr>
              <w:pStyle w:val="Compact"/>
            </w:pPr>
            <w:r>
              <w:t>Export duties (₡ millions)</w:t>
            </w:r>
          </w:p>
        </w:tc>
        <w:tc>
          <w:tcPr>
            <w:tcW w:w="0" w:type="auto"/>
          </w:tcPr>
          <w:p w14:paraId="75F7915D" w14:textId="77777777" w:rsidR="007F0800" w:rsidRDefault="00AB12A8">
            <w:pPr>
              <w:pStyle w:val="Compact"/>
              <w:jc w:val="center"/>
            </w:pPr>
            <w:r>
              <w:t>35.0</w:t>
            </w:r>
          </w:p>
        </w:tc>
        <w:tc>
          <w:tcPr>
            <w:tcW w:w="0" w:type="auto"/>
          </w:tcPr>
          <w:p w14:paraId="3590852A" w14:textId="77777777" w:rsidR="007F0800" w:rsidRDefault="00AB12A8">
            <w:pPr>
              <w:pStyle w:val="Compact"/>
              <w:jc w:val="center"/>
            </w:pPr>
            <w:r>
              <w:t>46.2</w:t>
            </w:r>
          </w:p>
        </w:tc>
        <w:tc>
          <w:tcPr>
            <w:tcW w:w="0" w:type="auto"/>
          </w:tcPr>
          <w:p w14:paraId="04515C53" w14:textId="77777777" w:rsidR="007F0800" w:rsidRDefault="00AB12A8">
            <w:pPr>
              <w:pStyle w:val="Compact"/>
              <w:jc w:val="center"/>
            </w:pPr>
            <w:r>
              <w:t>+32.0%</w:t>
            </w:r>
          </w:p>
        </w:tc>
      </w:tr>
      <w:tr w:rsidR="007F0800" w14:paraId="2AD6AB8E" w14:textId="77777777">
        <w:tc>
          <w:tcPr>
            <w:tcW w:w="0" w:type="auto"/>
          </w:tcPr>
          <w:p w14:paraId="4903711D" w14:textId="77777777" w:rsidR="007F0800" w:rsidRDefault="00AB12A8">
            <w:pPr>
              <w:pStyle w:val="Compact"/>
            </w:pPr>
            <w:r>
              <w:t>— of which: coffee</w:t>
            </w:r>
          </w:p>
        </w:tc>
        <w:tc>
          <w:tcPr>
            <w:tcW w:w="0" w:type="auto"/>
          </w:tcPr>
          <w:p w14:paraId="24174C57" w14:textId="77777777" w:rsidR="007F0800" w:rsidRDefault="00AB12A8">
            <w:pPr>
              <w:pStyle w:val="Compact"/>
              <w:jc w:val="center"/>
            </w:pPr>
            <w:r>
              <w:t>35.0</w:t>
            </w:r>
          </w:p>
        </w:tc>
        <w:tc>
          <w:tcPr>
            <w:tcW w:w="0" w:type="auto"/>
          </w:tcPr>
          <w:p w14:paraId="2CD8612D" w14:textId="77777777" w:rsidR="007F0800" w:rsidRDefault="00AB12A8">
            <w:pPr>
              <w:pStyle w:val="Compact"/>
              <w:jc w:val="center"/>
            </w:pPr>
            <w:r>
              <w:t>46.2</w:t>
            </w:r>
          </w:p>
        </w:tc>
        <w:tc>
          <w:tcPr>
            <w:tcW w:w="0" w:type="auto"/>
          </w:tcPr>
          <w:p w14:paraId="0414BE56" w14:textId="77777777" w:rsidR="007F0800" w:rsidRDefault="00AB12A8">
            <w:pPr>
              <w:pStyle w:val="Compact"/>
              <w:jc w:val="center"/>
            </w:pPr>
            <w:r>
              <w:t>+32.0%</w:t>
            </w:r>
          </w:p>
        </w:tc>
      </w:tr>
      <w:tr w:rsidR="007F0800" w14:paraId="5D49EAD2" w14:textId="77777777">
        <w:tc>
          <w:tcPr>
            <w:tcW w:w="0" w:type="auto"/>
          </w:tcPr>
          <w:p w14:paraId="088036EA" w14:textId="77777777" w:rsidR="007F0800" w:rsidRDefault="00AB12A8">
            <w:pPr>
              <w:pStyle w:val="Compact"/>
            </w:pPr>
            <w:r>
              <w:t>Income tax (₡ millions)</w:t>
            </w:r>
          </w:p>
        </w:tc>
        <w:tc>
          <w:tcPr>
            <w:tcW w:w="0" w:type="auto"/>
          </w:tcPr>
          <w:p w14:paraId="39C757B2" w14:textId="77777777" w:rsidR="007F0800" w:rsidRDefault="00AB12A8">
            <w:pPr>
              <w:pStyle w:val="Compact"/>
              <w:jc w:val="center"/>
            </w:pPr>
            <w:r>
              <w:t>10.5</w:t>
            </w:r>
          </w:p>
        </w:tc>
        <w:tc>
          <w:tcPr>
            <w:tcW w:w="0" w:type="auto"/>
          </w:tcPr>
          <w:p w14:paraId="2F7C1358" w14:textId="77777777" w:rsidR="007F0800" w:rsidRDefault="00AB12A8">
            <w:pPr>
              <w:pStyle w:val="Compact"/>
              <w:jc w:val="center"/>
            </w:pPr>
            <w:r>
              <w:t>10.6</w:t>
            </w:r>
          </w:p>
        </w:tc>
        <w:tc>
          <w:tcPr>
            <w:tcW w:w="0" w:type="auto"/>
          </w:tcPr>
          <w:p w14:paraId="45FEDBFA" w14:textId="77777777" w:rsidR="007F0800" w:rsidRDefault="00AB12A8">
            <w:pPr>
              <w:pStyle w:val="Compact"/>
              <w:jc w:val="center"/>
            </w:pPr>
            <w:r>
              <w:t>+1.7%</w:t>
            </w:r>
          </w:p>
        </w:tc>
      </w:tr>
      <w:tr w:rsidR="007F0800" w14:paraId="68F2C52C" w14:textId="77777777">
        <w:tc>
          <w:tcPr>
            <w:tcW w:w="0" w:type="auto"/>
          </w:tcPr>
          <w:p w14:paraId="77C274CB" w14:textId="77777777" w:rsidR="007F0800" w:rsidRDefault="00AB12A8">
            <w:pPr>
              <w:pStyle w:val="Compact"/>
            </w:pPr>
            <w:r>
              <w:t>Art. Manufacturados y Consumo (₡ millions)</w:t>
            </w:r>
          </w:p>
        </w:tc>
        <w:tc>
          <w:tcPr>
            <w:tcW w:w="0" w:type="auto"/>
          </w:tcPr>
          <w:p w14:paraId="7A078F45" w14:textId="77777777" w:rsidR="007F0800" w:rsidRDefault="00AB12A8">
            <w:pPr>
              <w:pStyle w:val="Compact"/>
              <w:jc w:val="center"/>
            </w:pPr>
            <w:r>
              <w:t>20.3</w:t>
            </w:r>
          </w:p>
        </w:tc>
        <w:tc>
          <w:tcPr>
            <w:tcW w:w="0" w:type="auto"/>
          </w:tcPr>
          <w:p w14:paraId="0F105044" w14:textId="77777777" w:rsidR="007F0800" w:rsidRDefault="00AB12A8">
            <w:pPr>
              <w:pStyle w:val="Compact"/>
              <w:jc w:val="center"/>
            </w:pPr>
            <w:r>
              <w:t>25.7</w:t>
            </w:r>
          </w:p>
        </w:tc>
        <w:tc>
          <w:tcPr>
            <w:tcW w:w="0" w:type="auto"/>
          </w:tcPr>
          <w:p w14:paraId="7FE40077" w14:textId="77777777" w:rsidR="007F0800" w:rsidRDefault="00AB12A8">
            <w:pPr>
              <w:pStyle w:val="Compact"/>
              <w:jc w:val="center"/>
            </w:pPr>
            <w:r>
              <w:t>+26.6%</w:t>
            </w:r>
          </w:p>
        </w:tc>
      </w:tr>
    </w:tbl>
    <w:p w14:paraId="44831136" w14:textId="77777777" w:rsidR="007F0800" w:rsidRDefault="00AB12A8">
      <w:pPr>
        <w:pStyle w:val="BodyText"/>
      </w:pPr>
      <w:r>
        <w:t>The ₡27.1 million revenue increase was the largest absolute increase in the series. Of this, coffee export duties alone contributed ₡11.2 million (41.3% of the total increase), import duties ₡4.9 million (18.1%), and manufactured goods/consumption taxes ₡5.4 million (19.9%). The income tax contributed only ₡183,000 — less than 1% of the total increase.</w:t>
      </w:r>
    </w:p>
    <w:p w14:paraId="7338117E" w14:textId="77777777" w:rsidR="007F0800" w:rsidRDefault="00AB12A8">
      <w:pPr>
        <w:pStyle w:val="Heading3"/>
      </w:pPr>
      <w:bookmarkStart w:id="5" w:name="expenditure-performance"/>
      <w:bookmarkEnd w:id="4"/>
      <w:r>
        <w:t>1.3 Expenditure Performance</w:t>
      </w:r>
    </w:p>
    <w:tbl>
      <w:tblPr>
        <w:tblStyle w:val="Table"/>
        <w:tblW w:w="0" w:type="auto"/>
        <w:tblLook w:val="0020" w:firstRow="1" w:lastRow="0" w:firstColumn="0" w:lastColumn="0" w:noHBand="0" w:noVBand="0"/>
      </w:tblPr>
      <w:tblGrid>
        <w:gridCol w:w="3685"/>
        <w:gridCol w:w="1708"/>
        <w:gridCol w:w="1708"/>
      </w:tblGrid>
      <w:tr w:rsidR="007F0800" w14:paraId="3A1B1E46"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4903F68D" w14:textId="77777777" w:rsidR="007F0800" w:rsidRDefault="00AB12A8">
            <w:pPr>
              <w:pStyle w:val="Compact"/>
            </w:pPr>
            <w:r>
              <w:t>Expenditure Indicator</w:t>
            </w:r>
          </w:p>
        </w:tc>
        <w:tc>
          <w:tcPr>
            <w:tcW w:w="0" w:type="auto"/>
          </w:tcPr>
          <w:p w14:paraId="381648BA" w14:textId="77777777" w:rsidR="007F0800" w:rsidRDefault="00AB12A8">
            <w:pPr>
              <w:pStyle w:val="Compact"/>
              <w:jc w:val="center"/>
            </w:pPr>
            <w:r>
              <w:t>1953</w:t>
            </w:r>
          </w:p>
        </w:tc>
        <w:tc>
          <w:tcPr>
            <w:tcW w:w="0" w:type="auto"/>
          </w:tcPr>
          <w:p w14:paraId="49F0E8AD" w14:textId="77777777" w:rsidR="007F0800" w:rsidRDefault="00AB12A8">
            <w:pPr>
              <w:pStyle w:val="Compact"/>
              <w:jc w:val="center"/>
            </w:pPr>
            <w:r>
              <w:t>1954</w:t>
            </w:r>
          </w:p>
        </w:tc>
      </w:tr>
      <w:tr w:rsidR="007F0800" w14:paraId="04031924" w14:textId="77777777">
        <w:tc>
          <w:tcPr>
            <w:tcW w:w="0" w:type="auto"/>
          </w:tcPr>
          <w:p w14:paraId="3D652CB6" w14:textId="77777777" w:rsidR="007F0800" w:rsidRDefault="00AB12A8">
            <w:pPr>
              <w:pStyle w:val="Compact"/>
            </w:pPr>
            <w:r>
              <w:t>Total Expenditure (General Fund)</w:t>
            </w:r>
          </w:p>
        </w:tc>
        <w:tc>
          <w:tcPr>
            <w:tcW w:w="0" w:type="auto"/>
          </w:tcPr>
          <w:p w14:paraId="6D710E51" w14:textId="77777777" w:rsidR="007F0800" w:rsidRDefault="00AB12A8">
            <w:pPr>
              <w:pStyle w:val="Compact"/>
              <w:jc w:val="center"/>
            </w:pPr>
            <w:r>
              <w:t>₡</w:t>
            </w:r>
            <w:r>
              <w:t>124.1 million</w:t>
            </w:r>
          </w:p>
        </w:tc>
        <w:tc>
          <w:tcPr>
            <w:tcW w:w="0" w:type="auto"/>
          </w:tcPr>
          <w:p w14:paraId="253F2F37" w14:textId="77777777" w:rsidR="007F0800" w:rsidRDefault="00AB12A8">
            <w:pPr>
              <w:pStyle w:val="Compact"/>
              <w:jc w:val="center"/>
            </w:pPr>
            <w:r>
              <w:t>₡</w:t>
            </w:r>
            <w:r>
              <w:t>142.4 million</w:t>
            </w:r>
          </w:p>
        </w:tc>
      </w:tr>
      <w:tr w:rsidR="007F0800" w14:paraId="041E3710" w14:textId="77777777">
        <w:tc>
          <w:tcPr>
            <w:tcW w:w="0" w:type="auto"/>
          </w:tcPr>
          <w:p w14:paraId="05E82A7C" w14:textId="77777777" w:rsidR="007F0800" w:rsidRDefault="00AB12A8">
            <w:pPr>
              <w:pStyle w:val="Compact"/>
            </w:pPr>
            <w:r>
              <w:t>Growth over prior year</w:t>
            </w:r>
          </w:p>
        </w:tc>
        <w:tc>
          <w:tcPr>
            <w:tcW w:w="0" w:type="auto"/>
          </w:tcPr>
          <w:p w14:paraId="36B29790" w14:textId="77777777" w:rsidR="007F0800" w:rsidRDefault="00AB12A8">
            <w:pPr>
              <w:pStyle w:val="Compact"/>
              <w:jc w:val="center"/>
            </w:pPr>
            <w:r>
              <w:t>+10.7%</w:t>
            </w:r>
          </w:p>
        </w:tc>
        <w:tc>
          <w:tcPr>
            <w:tcW w:w="0" w:type="auto"/>
          </w:tcPr>
          <w:p w14:paraId="7C6D31D8" w14:textId="77777777" w:rsidR="007F0800" w:rsidRDefault="00AB12A8">
            <w:pPr>
              <w:pStyle w:val="Compact"/>
              <w:jc w:val="center"/>
            </w:pPr>
            <w:r>
              <w:t>+14.8%</w:t>
            </w:r>
          </w:p>
        </w:tc>
      </w:tr>
      <w:tr w:rsidR="007F0800" w14:paraId="7ED45A68" w14:textId="77777777">
        <w:tc>
          <w:tcPr>
            <w:tcW w:w="0" w:type="auto"/>
          </w:tcPr>
          <w:p w14:paraId="16332394" w14:textId="77777777" w:rsidR="007F0800" w:rsidRDefault="00AB12A8">
            <w:pPr>
              <w:pStyle w:val="Compact"/>
            </w:pPr>
            <w:r>
              <w:t>Authorized Allocations</w:t>
            </w:r>
          </w:p>
        </w:tc>
        <w:tc>
          <w:tcPr>
            <w:tcW w:w="0" w:type="auto"/>
          </w:tcPr>
          <w:p w14:paraId="42E8922C" w14:textId="77777777" w:rsidR="007F0800" w:rsidRDefault="00AB12A8">
            <w:pPr>
              <w:pStyle w:val="Compact"/>
              <w:jc w:val="center"/>
            </w:pPr>
            <w:r>
              <w:t>₡</w:t>
            </w:r>
            <w:r>
              <w:t>144.2 million</w:t>
            </w:r>
          </w:p>
        </w:tc>
        <w:tc>
          <w:tcPr>
            <w:tcW w:w="0" w:type="auto"/>
          </w:tcPr>
          <w:p w14:paraId="6F3C7EAB" w14:textId="77777777" w:rsidR="007F0800" w:rsidRDefault="00AB12A8">
            <w:pPr>
              <w:pStyle w:val="Compact"/>
              <w:jc w:val="center"/>
            </w:pPr>
            <w:r>
              <w:t>₡</w:t>
            </w:r>
            <w:r>
              <w:t>161.0 million</w:t>
            </w:r>
          </w:p>
        </w:tc>
      </w:tr>
      <w:tr w:rsidR="007F0800" w14:paraId="2D27E3AE" w14:textId="77777777">
        <w:tc>
          <w:tcPr>
            <w:tcW w:w="0" w:type="auto"/>
          </w:tcPr>
          <w:p w14:paraId="339D4463" w14:textId="77777777" w:rsidR="007F0800" w:rsidRDefault="00AB12A8">
            <w:pPr>
              <w:pStyle w:val="Compact"/>
            </w:pPr>
            <w:r>
              <w:t>Utilization Rate</w:t>
            </w:r>
          </w:p>
        </w:tc>
        <w:tc>
          <w:tcPr>
            <w:tcW w:w="0" w:type="auto"/>
          </w:tcPr>
          <w:p w14:paraId="33556681" w14:textId="77777777" w:rsidR="007F0800" w:rsidRDefault="00AB12A8">
            <w:pPr>
              <w:pStyle w:val="Compact"/>
              <w:jc w:val="center"/>
            </w:pPr>
            <w:r>
              <w:t>86.0%</w:t>
            </w:r>
          </w:p>
        </w:tc>
        <w:tc>
          <w:tcPr>
            <w:tcW w:w="0" w:type="auto"/>
          </w:tcPr>
          <w:p w14:paraId="6E4A22D9" w14:textId="77777777" w:rsidR="007F0800" w:rsidRDefault="00AB12A8">
            <w:pPr>
              <w:pStyle w:val="Compact"/>
              <w:jc w:val="center"/>
            </w:pPr>
            <w:r>
              <w:t>88.4%</w:t>
            </w:r>
          </w:p>
        </w:tc>
      </w:tr>
      <w:tr w:rsidR="007F0800" w14:paraId="647E7D20" w14:textId="77777777">
        <w:tc>
          <w:tcPr>
            <w:tcW w:w="0" w:type="auto"/>
          </w:tcPr>
          <w:p w14:paraId="6E5665FF" w14:textId="77777777" w:rsidR="007F0800" w:rsidRDefault="00AB12A8">
            <w:pPr>
              <w:pStyle w:val="Compact"/>
            </w:pPr>
            <w:r>
              <w:t>Personnel / Total Expenditure</w:t>
            </w:r>
          </w:p>
        </w:tc>
        <w:tc>
          <w:tcPr>
            <w:tcW w:w="0" w:type="auto"/>
          </w:tcPr>
          <w:p w14:paraId="0393D509" w14:textId="77777777" w:rsidR="007F0800" w:rsidRDefault="00AB12A8">
            <w:pPr>
              <w:pStyle w:val="Compact"/>
              <w:jc w:val="center"/>
            </w:pPr>
            <w:r>
              <w:t>49.7%</w:t>
            </w:r>
          </w:p>
        </w:tc>
        <w:tc>
          <w:tcPr>
            <w:tcW w:w="0" w:type="auto"/>
          </w:tcPr>
          <w:p w14:paraId="5960753D" w14:textId="77777777" w:rsidR="007F0800" w:rsidRDefault="00AB12A8">
            <w:pPr>
              <w:pStyle w:val="Compact"/>
              <w:jc w:val="center"/>
            </w:pPr>
            <w:r>
              <w:t>49.1%</w:t>
            </w:r>
          </w:p>
        </w:tc>
      </w:tr>
      <w:tr w:rsidR="007F0800" w14:paraId="4AFDF579" w14:textId="77777777">
        <w:tc>
          <w:tcPr>
            <w:tcW w:w="0" w:type="auto"/>
          </w:tcPr>
          <w:p w14:paraId="639317E7" w14:textId="77777777" w:rsidR="007F0800" w:rsidRDefault="00AB12A8">
            <w:pPr>
              <w:pStyle w:val="Compact"/>
            </w:pPr>
            <w:r>
              <w:t>Debt Service / Total Expenditure</w:t>
            </w:r>
          </w:p>
        </w:tc>
        <w:tc>
          <w:tcPr>
            <w:tcW w:w="0" w:type="auto"/>
          </w:tcPr>
          <w:p w14:paraId="1D08EC9C" w14:textId="77777777" w:rsidR="007F0800" w:rsidRDefault="00AB12A8">
            <w:pPr>
              <w:pStyle w:val="Compact"/>
              <w:jc w:val="center"/>
            </w:pPr>
            <w:r>
              <w:t>4.3%</w:t>
            </w:r>
          </w:p>
        </w:tc>
        <w:tc>
          <w:tcPr>
            <w:tcW w:w="0" w:type="auto"/>
          </w:tcPr>
          <w:p w14:paraId="7A69E187" w14:textId="77777777" w:rsidR="007F0800" w:rsidRDefault="00AB12A8">
            <w:pPr>
              <w:pStyle w:val="Compact"/>
              <w:jc w:val="center"/>
            </w:pPr>
            <w:r>
              <w:t>3.3%</w:t>
            </w:r>
          </w:p>
        </w:tc>
      </w:tr>
    </w:tbl>
    <w:p w14:paraId="0BBEFF7F" w14:textId="77777777" w:rsidR="007F0800" w:rsidRDefault="00AB12A8">
      <w:pPr>
        <w:pStyle w:val="BodyText"/>
      </w:pPr>
      <w:r>
        <w:t>Expenditure grew 14.8% — faster than in any prior year in the series — reflecting the government’s decision to expand social spending and infrastructure investment during the revenue boom. The utilization rate improved to 88.4%, suggesting better execution capacity.</w:t>
      </w:r>
    </w:p>
    <w:p w14:paraId="395C6B20" w14:textId="77777777" w:rsidR="007F0800" w:rsidRDefault="00AB12A8">
      <w:r>
        <w:pict w14:anchorId="68CC2BC5">
          <v:rect id="_x0000_i1027" style="width:0;height:1.5pt" o:hralign="center" o:hrstd="t" o:hr="t"/>
        </w:pict>
      </w:r>
    </w:p>
    <w:p w14:paraId="2986891C" w14:textId="77777777" w:rsidR="007F0800" w:rsidRDefault="00AB12A8">
      <w:pPr>
        <w:pStyle w:val="Heading2"/>
      </w:pPr>
      <w:bookmarkStart w:id="6" w:name="structural-revenue-analysis"/>
      <w:bookmarkEnd w:id="2"/>
      <w:bookmarkEnd w:id="5"/>
      <w:r>
        <w:t>2. Structural Revenue Analysis</w:t>
      </w:r>
    </w:p>
    <w:p w14:paraId="2946D2E3" w14:textId="77777777" w:rsidR="007F0800" w:rsidRDefault="00AB12A8">
      <w:pPr>
        <w:pStyle w:val="Heading3"/>
      </w:pPr>
      <w:bookmarkStart w:id="7" w:name="revenue-concentration-index"/>
      <w:r>
        <w:t>2.1 Revenue Concentration Index</w:t>
      </w:r>
    </w:p>
    <w:tbl>
      <w:tblPr>
        <w:tblStyle w:val="Table"/>
        <w:tblW w:w="5000" w:type="pct"/>
        <w:tblLook w:val="0020" w:firstRow="1" w:lastRow="0" w:firstColumn="0" w:lastColumn="0" w:noHBand="0" w:noVBand="0"/>
      </w:tblPr>
      <w:tblGrid>
        <w:gridCol w:w="4556"/>
        <w:gridCol w:w="1487"/>
        <w:gridCol w:w="3317"/>
      </w:tblGrid>
      <w:tr w:rsidR="007F0800" w14:paraId="60D22F5F"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1D150E88" w14:textId="77777777" w:rsidR="007F0800" w:rsidRDefault="00AB12A8">
            <w:pPr>
              <w:pStyle w:val="Compact"/>
            </w:pPr>
            <w:r>
              <w:t>Revenue Source</w:t>
            </w:r>
          </w:p>
        </w:tc>
        <w:tc>
          <w:tcPr>
            <w:tcW w:w="0" w:type="auto"/>
          </w:tcPr>
          <w:p w14:paraId="4BDB367F" w14:textId="77777777" w:rsidR="007F0800" w:rsidRDefault="00AB12A8">
            <w:pPr>
              <w:pStyle w:val="Compact"/>
              <w:jc w:val="center"/>
            </w:pPr>
            <w:r>
              <w:t>1954 Share (%)</w:t>
            </w:r>
          </w:p>
        </w:tc>
        <w:tc>
          <w:tcPr>
            <w:tcW w:w="0" w:type="auto"/>
          </w:tcPr>
          <w:p w14:paraId="33C67DBB" w14:textId="77777777" w:rsidR="007F0800" w:rsidRDefault="00AB12A8">
            <w:pPr>
              <w:pStyle w:val="Compact"/>
            </w:pPr>
            <w:r>
              <w:t>Risk Assessment</w:t>
            </w:r>
          </w:p>
        </w:tc>
      </w:tr>
      <w:tr w:rsidR="007F0800" w14:paraId="0C11F000" w14:textId="77777777">
        <w:tc>
          <w:tcPr>
            <w:tcW w:w="0" w:type="auto"/>
          </w:tcPr>
          <w:p w14:paraId="7A703171" w14:textId="77777777" w:rsidR="007F0800" w:rsidRDefault="00AB12A8">
            <w:pPr>
              <w:pStyle w:val="Compact"/>
            </w:pPr>
            <w:r>
              <w:t>Import duties</w:t>
            </w:r>
          </w:p>
        </w:tc>
        <w:tc>
          <w:tcPr>
            <w:tcW w:w="0" w:type="auto"/>
          </w:tcPr>
          <w:p w14:paraId="3D25A567" w14:textId="77777777" w:rsidR="007F0800" w:rsidRDefault="00AB12A8">
            <w:pPr>
              <w:pStyle w:val="Compact"/>
              <w:jc w:val="center"/>
            </w:pPr>
            <w:r>
              <w:t>31.9%</w:t>
            </w:r>
          </w:p>
        </w:tc>
        <w:tc>
          <w:tcPr>
            <w:tcW w:w="0" w:type="auto"/>
          </w:tcPr>
          <w:p w14:paraId="684722E1" w14:textId="77777777" w:rsidR="007F0800" w:rsidRDefault="00AB12A8">
            <w:pPr>
              <w:pStyle w:val="Compact"/>
            </w:pPr>
            <w:r>
              <w:t>HIGH: procyclical, trade-dependent</w:t>
            </w:r>
          </w:p>
        </w:tc>
      </w:tr>
      <w:tr w:rsidR="007F0800" w14:paraId="544FD14C" w14:textId="77777777">
        <w:tc>
          <w:tcPr>
            <w:tcW w:w="0" w:type="auto"/>
          </w:tcPr>
          <w:p w14:paraId="2730F6CF" w14:textId="77777777" w:rsidR="007F0800" w:rsidRDefault="00AB12A8">
            <w:pPr>
              <w:pStyle w:val="Compact"/>
            </w:pPr>
            <w:r>
              <w:t>Export duties (coffee-linked)</w:t>
            </w:r>
          </w:p>
        </w:tc>
        <w:tc>
          <w:tcPr>
            <w:tcW w:w="0" w:type="auto"/>
          </w:tcPr>
          <w:p w14:paraId="1C792FA1" w14:textId="77777777" w:rsidR="007F0800" w:rsidRDefault="00AB12A8">
            <w:pPr>
              <w:pStyle w:val="Compact"/>
              <w:jc w:val="center"/>
            </w:pPr>
            <w:r>
              <w:t>27.6%</w:t>
            </w:r>
          </w:p>
        </w:tc>
        <w:tc>
          <w:tcPr>
            <w:tcW w:w="0" w:type="auto"/>
          </w:tcPr>
          <w:p w14:paraId="7024F174" w14:textId="77777777" w:rsidR="007F0800" w:rsidRDefault="00AB12A8">
            <w:pPr>
              <w:pStyle w:val="Compact"/>
            </w:pPr>
            <w:r>
              <w:t>VERY HIGH: single-commodity exposure</w:t>
            </w:r>
          </w:p>
        </w:tc>
      </w:tr>
      <w:tr w:rsidR="007F0800" w14:paraId="1A8A62FC" w14:textId="77777777">
        <w:tc>
          <w:tcPr>
            <w:tcW w:w="0" w:type="auto"/>
          </w:tcPr>
          <w:p w14:paraId="151D28A7" w14:textId="77777777" w:rsidR="007F0800" w:rsidRPr="001C1233" w:rsidRDefault="00AB12A8">
            <w:pPr>
              <w:pStyle w:val="Compact"/>
              <w:rPr>
                <w:lang w:val="es-SV"/>
              </w:rPr>
            </w:pPr>
            <w:r w:rsidRPr="001C1233">
              <w:rPr>
                <w:lang w:val="es-SV"/>
              </w:rPr>
              <w:t>Impuestos sobre Art. Manufacturados y Consumo</w:t>
            </w:r>
          </w:p>
        </w:tc>
        <w:tc>
          <w:tcPr>
            <w:tcW w:w="0" w:type="auto"/>
          </w:tcPr>
          <w:p w14:paraId="1AAD528E" w14:textId="77777777" w:rsidR="007F0800" w:rsidRDefault="00AB12A8">
            <w:pPr>
              <w:pStyle w:val="Compact"/>
              <w:jc w:val="center"/>
            </w:pPr>
            <w:r>
              <w:t>15.4%</w:t>
            </w:r>
          </w:p>
        </w:tc>
        <w:tc>
          <w:tcPr>
            <w:tcW w:w="0" w:type="auto"/>
          </w:tcPr>
          <w:p w14:paraId="0644DACB" w14:textId="77777777" w:rsidR="007F0800" w:rsidRDefault="00AB12A8">
            <w:pPr>
              <w:pStyle w:val="Compact"/>
            </w:pPr>
            <w:r>
              <w:t>MODERATE: partly import-linked</w:t>
            </w:r>
          </w:p>
        </w:tc>
      </w:tr>
      <w:tr w:rsidR="007F0800" w14:paraId="3075EFB0" w14:textId="77777777">
        <w:tc>
          <w:tcPr>
            <w:tcW w:w="0" w:type="auto"/>
          </w:tcPr>
          <w:p w14:paraId="4A040ABA" w14:textId="77777777" w:rsidR="007F0800" w:rsidRDefault="00AB12A8">
            <w:pPr>
              <w:pStyle w:val="Compact"/>
            </w:pPr>
            <w:r>
              <w:t>Income tax (Renta + Vialidad)</w:t>
            </w:r>
          </w:p>
        </w:tc>
        <w:tc>
          <w:tcPr>
            <w:tcW w:w="0" w:type="auto"/>
          </w:tcPr>
          <w:p w14:paraId="181C6FB8" w14:textId="77777777" w:rsidR="007F0800" w:rsidRDefault="00AB12A8">
            <w:pPr>
              <w:pStyle w:val="Compact"/>
              <w:jc w:val="center"/>
            </w:pPr>
            <w:r>
              <w:t>8.1%</w:t>
            </w:r>
          </w:p>
        </w:tc>
        <w:tc>
          <w:tcPr>
            <w:tcW w:w="0" w:type="auto"/>
          </w:tcPr>
          <w:p w14:paraId="15F699C6" w14:textId="77777777" w:rsidR="007F0800" w:rsidRDefault="00AB12A8">
            <w:pPr>
              <w:pStyle w:val="Compact"/>
            </w:pPr>
            <w:r>
              <w:t>LOW: small but stable</w:t>
            </w:r>
          </w:p>
        </w:tc>
      </w:tr>
      <w:tr w:rsidR="007F0800" w14:paraId="0561AF5C" w14:textId="77777777">
        <w:tc>
          <w:tcPr>
            <w:tcW w:w="0" w:type="auto"/>
          </w:tcPr>
          <w:p w14:paraId="3778F39A" w14:textId="77777777" w:rsidR="007F0800" w:rsidRDefault="00AB12A8">
            <w:pPr>
              <w:pStyle w:val="Compact"/>
            </w:pPr>
            <w:r>
              <w:t>Sucesiones y Donaciones</w:t>
            </w:r>
          </w:p>
        </w:tc>
        <w:tc>
          <w:tcPr>
            <w:tcW w:w="0" w:type="auto"/>
          </w:tcPr>
          <w:p w14:paraId="36262B6B" w14:textId="77777777" w:rsidR="007F0800" w:rsidRDefault="00AB12A8">
            <w:pPr>
              <w:pStyle w:val="Compact"/>
              <w:jc w:val="center"/>
            </w:pPr>
            <w:r>
              <w:t>3.3%</w:t>
            </w:r>
          </w:p>
        </w:tc>
        <w:tc>
          <w:tcPr>
            <w:tcW w:w="0" w:type="auto"/>
          </w:tcPr>
          <w:p w14:paraId="715C84DB" w14:textId="77777777" w:rsidR="007F0800" w:rsidRDefault="00AB12A8">
            <w:pPr>
              <w:pStyle w:val="Compact"/>
            </w:pPr>
            <w:r>
              <w:t>VOLATILE: estate-dependent</w:t>
            </w:r>
          </w:p>
        </w:tc>
      </w:tr>
      <w:tr w:rsidR="007F0800" w14:paraId="7FBCAC90" w14:textId="77777777">
        <w:tc>
          <w:tcPr>
            <w:tcW w:w="0" w:type="auto"/>
          </w:tcPr>
          <w:p w14:paraId="0F91222F" w14:textId="77777777" w:rsidR="007F0800" w:rsidRPr="001C1233" w:rsidRDefault="00AB12A8">
            <w:pPr>
              <w:pStyle w:val="Compact"/>
              <w:rPr>
                <w:lang w:val="es-SV"/>
              </w:rPr>
            </w:pPr>
            <w:r w:rsidRPr="001C1233">
              <w:rPr>
                <w:lang w:val="es-SV"/>
              </w:rPr>
              <w:t>Especies fiscales e impuestos por servicios</w:t>
            </w:r>
          </w:p>
        </w:tc>
        <w:tc>
          <w:tcPr>
            <w:tcW w:w="0" w:type="auto"/>
          </w:tcPr>
          <w:p w14:paraId="4DD91CAC" w14:textId="77777777" w:rsidR="007F0800" w:rsidRDefault="00AB12A8">
            <w:pPr>
              <w:pStyle w:val="Compact"/>
              <w:jc w:val="center"/>
            </w:pPr>
            <w:r>
              <w:t>2.3%</w:t>
            </w:r>
          </w:p>
        </w:tc>
        <w:tc>
          <w:tcPr>
            <w:tcW w:w="0" w:type="auto"/>
          </w:tcPr>
          <w:p w14:paraId="1D2DC3C9" w14:textId="77777777" w:rsidR="007F0800" w:rsidRDefault="00AB12A8">
            <w:pPr>
              <w:pStyle w:val="Compact"/>
            </w:pPr>
            <w:r>
              <w:t>MODERATE: somewhat stable</w:t>
            </w:r>
          </w:p>
        </w:tc>
      </w:tr>
      <w:tr w:rsidR="007F0800" w14:paraId="26F5B067" w14:textId="77777777">
        <w:tc>
          <w:tcPr>
            <w:tcW w:w="0" w:type="auto"/>
          </w:tcPr>
          <w:p w14:paraId="04351983" w14:textId="77777777" w:rsidR="007F0800" w:rsidRDefault="00AB12A8">
            <w:pPr>
              <w:pStyle w:val="Compact"/>
            </w:pPr>
            <w:r>
              <w:t>Other taxes</w:t>
            </w:r>
          </w:p>
        </w:tc>
        <w:tc>
          <w:tcPr>
            <w:tcW w:w="0" w:type="auto"/>
          </w:tcPr>
          <w:p w14:paraId="04205A2F" w14:textId="77777777" w:rsidR="007F0800" w:rsidRDefault="00AB12A8">
            <w:pPr>
              <w:pStyle w:val="Compact"/>
              <w:jc w:val="center"/>
            </w:pPr>
            <w:r>
              <w:t>3.7%</w:t>
            </w:r>
          </w:p>
        </w:tc>
        <w:tc>
          <w:tcPr>
            <w:tcW w:w="0" w:type="auto"/>
          </w:tcPr>
          <w:p w14:paraId="68307B43" w14:textId="77777777" w:rsidR="007F0800" w:rsidRDefault="00AB12A8">
            <w:pPr>
              <w:pStyle w:val="Compact"/>
            </w:pPr>
            <w:r>
              <w:t>MODERATE</w:t>
            </w:r>
          </w:p>
        </w:tc>
      </w:tr>
      <w:tr w:rsidR="007F0800" w14:paraId="22D11350" w14:textId="77777777">
        <w:tc>
          <w:tcPr>
            <w:tcW w:w="0" w:type="auto"/>
          </w:tcPr>
          <w:p w14:paraId="3A7D2AF2" w14:textId="77777777" w:rsidR="007F0800" w:rsidRDefault="00AB12A8">
            <w:pPr>
              <w:pStyle w:val="Compact"/>
            </w:pPr>
            <w:r>
              <w:t>Non-tax revenue</w:t>
            </w:r>
          </w:p>
        </w:tc>
        <w:tc>
          <w:tcPr>
            <w:tcW w:w="0" w:type="auto"/>
          </w:tcPr>
          <w:p w14:paraId="6EE56359" w14:textId="77777777" w:rsidR="007F0800" w:rsidRDefault="00AB12A8">
            <w:pPr>
              <w:pStyle w:val="Compact"/>
              <w:jc w:val="center"/>
            </w:pPr>
            <w:r>
              <w:t>7.7%</w:t>
            </w:r>
          </w:p>
        </w:tc>
        <w:tc>
          <w:tcPr>
            <w:tcW w:w="0" w:type="auto"/>
          </w:tcPr>
          <w:p w14:paraId="71213A93" w14:textId="77777777" w:rsidR="007F0800" w:rsidRDefault="00AB12A8">
            <w:pPr>
              <w:pStyle w:val="Compact"/>
            </w:pPr>
            <w:r>
              <w:t>MODERATE: stable but small</w:t>
            </w:r>
          </w:p>
        </w:tc>
      </w:tr>
      <w:tr w:rsidR="007F0800" w14:paraId="0DBD3887" w14:textId="77777777">
        <w:tc>
          <w:tcPr>
            <w:tcW w:w="0" w:type="auto"/>
          </w:tcPr>
          <w:p w14:paraId="49DEABEB" w14:textId="77777777" w:rsidR="007F0800" w:rsidRDefault="00AB12A8">
            <w:pPr>
              <w:pStyle w:val="Compact"/>
            </w:pPr>
            <w:r>
              <w:rPr>
                <w:b/>
                <w:bCs/>
              </w:rPr>
              <w:t>Trade-dependent share (imports + exports + related)</w:t>
            </w:r>
          </w:p>
        </w:tc>
        <w:tc>
          <w:tcPr>
            <w:tcW w:w="0" w:type="auto"/>
          </w:tcPr>
          <w:p w14:paraId="7E7637A0" w14:textId="77777777" w:rsidR="007F0800" w:rsidRDefault="00AB12A8">
            <w:pPr>
              <w:pStyle w:val="Compact"/>
              <w:jc w:val="center"/>
            </w:pPr>
            <w:r>
              <w:rPr>
                <w:b/>
                <w:bCs/>
              </w:rPr>
              <w:t>~75%</w:t>
            </w:r>
          </w:p>
        </w:tc>
        <w:tc>
          <w:tcPr>
            <w:tcW w:w="0" w:type="auto"/>
          </w:tcPr>
          <w:p w14:paraId="1840EC7D" w14:textId="77777777" w:rsidR="007F0800" w:rsidRDefault="00AB12A8">
            <w:pPr>
              <w:pStyle w:val="Compact"/>
            </w:pPr>
            <w:r>
              <w:rPr>
                <w:b/>
                <w:bCs/>
              </w:rPr>
              <w:t>CRITICAL</w:t>
            </w:r>
          </w:p>
        </w:tc>
      </w:tr>
    </w:tbl>
    <w:p w14:paraId="2F2E409A" w14:textId="77777777" w:rsidR="007F0800" w:rsidRDefault="00AB12A8">
      <w:pPr>
        <w:pStyle w:val="BodyText"/>
      </w:pPr>
      <w:r>
        <w:rPr>
          <w:b/>
          <w:bCs/>
        </w:rPr>
        <w:t>Assessment:</w:t>
      </w:r>
      <w:r>
        <w:t xml:space="preserve"> The revenue structure in 1954 exhibited an extreme and worsening concentration in trade taxes. With approximately 75% of revenue dependent on trade flows — and trade flows overwhelmingly driven by coffee — the fiscal position was maximally exposed to terms-of-trade shocks.</w:t>
      </w:r>
    </w:p>
    <w:p w14:paraId="1C711835" w14:textId="77777777" w:rsidR="007F0800" w:rsidRDefault="00AB12A8">
      <w:pPr>
        <w:pStyle w:val="BodyText"/>
      </w:pPr>
      <w:r>
        <w:t>The progressive export tax (Decreto 836) amplified both the upside and the downside: in 1954, with coffee prices well above US$45 per quintal, the top marginal bracket was fully operative, channeling windfall rents into the treasury. But the same progressivity meant that a price decline would reduce export tax revenue more than proportionally — a 20% decline in coffee prices could reduce export tax collections by 25–30%, given the progressive rate structure.</w:t>
      </w:r>
    </w:p>
    <w:p w14:paraId="39BA6EF0" w14:textId="77777777" w:rsidR="007F0800" w:rsidRDefault="00AB12A8">
      <w:pPr>
        <w:pStyle w:val="Heading3"/>
      </w:pPr>
      <w:bookmarkStart w:id="8" w:name="the-income-tax-constraint"/>
      <w:bookmarkEnd w:id="7"/>
      <w:r>
        <w:t>2.2 The Income Tax Constraint</w:t>
      </w:r>
    </w:p>
    <w:p w14:paraId="403EC42E" w14:textId="77777777" w:rsidR="007F0800" w:rsidRDefault="00AB12A8">
      <w:pPr>
        <w:pStyle w:val="FirstParagraph"/>
      </w:pPr>
      <w:r>
        <w:t>The income tax merits special attention because of its structural limitations:</w:t>
      </w:r>
    </w:p>
    <w:tbl>
      <w:tblPr>
        <w:tblStyle w:val="Table"/>
        <w:tblW w:w="5000" w:type="pct"/>
        <w:tblLook w:val="0020" w:firstRow="1" w:lastRow="0" w:firstColumn="0" w:lastColumn="0" w:noHBand="0" w:noVBand="0"/>
      </w:tblPr>
      <w:tblGrid>
        <w:gridCol w:w="3357"/>
        <w:gridCol w:w="916"/>
        <w:gridCol w:w="748"/>
        <w:gridCol w:w="4339"/>
      </w:tblGrid>
      <w:tr w:rsidR="007F0800" w14:paraId="40376C0A"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42F8EE21" w14:textId="77777777" w:rsidR="007F0800" w:rsidRDefault="00AB12A8">
            <w:pPr>
              <w:pStyle w:val="Compact"/>
            </w:pPr>
            <w:r>
              <w:t>Income Tax Indicator</w:t>
            </w:r>
          </w:p>
        </w:tc>
        <w:tc>
          <w:tcPr>
            <w:tcW w:w="0" w:type="auto"/>
          </w:tcPr>
          <w:p w14:paraId="62D44486" w14:textId="77777777" w:rsidR="007F0800" w:rsidRDefault="00AB12A8">
            <w:pPr>
              <w:pStyle w:val="Compact"/>
              <w:jc w:val="center"/>
            </w:pPr>
            <w:r>
              <w:t>1953</w:t>
            </w:r>
          </w:p>
        </w:tc>
        <w:tc>
          <w:tcPr>
            <w:tcW w:w="0" w:type="auto"/>
          </w:tcPr>
          <w:p w14:paraId="0455AF09" w14:textId="77777777" w:rsidR="007F0800" w:rsidRDefault="00AB12A8">
            <w:pPr>
              <w:pStyle w:val="Compact"/>
              <w:jc w:val="center"/>
            </w:pPr>
            <w:r>
              <w:t>1954</w:t>
            </w:r>
          </w:p>
        </w:tc>
        <w:tc>
          <w:tcPr>
            <w:tcW w:w="0" w:type="auto"/>
          </w:tcPr>
          <w:p w14:paraId="6628A464" w14:textId="77777777" w:rsidR="007F0800" w:rsidRDefault="00AB12A8">
            <w:pPr>
              <w:pStyle w:val="Compact"/>
            </w:pPr>
            <w:r>
              <w:t>Assessment</w:t>
            </w:r>
          </w:p>
        </w:tc>
      </w:tr>
      <w:tr w:rsidR="007F0800" w14:paraId="28DA3B59" w14:textId="77777777">
        <w:tc>
          <w:tcPr>
            <w:tcW w:w="0" w:type="auto"/>
          </w:tcPr>
          <w:p w14:paraId="2938A210" w14:textId="77777777" w:rsidR="007F0800" w:rsidRDefault="00AB12A8">
            <w:pPr>
              <w:pStyle w:val="Compact"/>
            </w:pPr>
            <w:r>
              <w:t>Income tax collected (₡ millions)</w:t>
            </w:r>
          </w:p>
        </w:tc>
        <w:tc>
          <w:tcPr>
            <w:tcW w:w="0" w:type="auto"/>
          </w:tcPr>
          <w:p w14:paraId="7CADFEE6" w14:textId="77777777" w:rsidR="007F0800" w:rsidRDefault="00AB12A8">
            <w:pPr>
              <w:pStyle w:val="Compact"/>
              <w:jc w:val="center"/>
            </w:pPr>
            <w:r>
              <w:t>10.5</w:t>
            </w:r>
          </w:p>
        </w:tc>
        <w:tc>
          <w:tcPr>
            <w:tcW w:w="0" w:type="auto"/>
          </w:tcPr>
          <w:p w14:paraId="3A18BB83" w14:textId="77777777" w:rsidR="007F0800" w:rsidRDefault="00AB12A8">
            <w:pPr>
              <w:pStyle w:val="Compact"/>
              <w:jc w:val="center"/>
            </w:pPr>
            <w:r>
              <w:t>10.6</w:t>
            </w:r>
          </w:p>
        </w:tc>
        <w:tc>
          <w:tcPr>
            <w:tcW w:w="0" w:type="auto"/>
          </w:tcPr>
          <w:p w14:paraId="61DE511A" w14:textId="77777777" w:rsidR="007F0800" w:rsidRDefault="00AB12A8">
            <w:pPr>
              <w:pStyle w:val="Compact"/>
            </w:pPr>
            <w:r>
              <w:t>Essentially flat (+₡183,000)</w:t>
            </w:r>
          </w:p>
        </w:tc>
      </w:tr>
      <w:tr w:rsidR="007F0800" w14:paraId="62C518C8" w14:textId="77777777">
        <w:tc>
          <w:tcPr>
            <w:tcW w:w="0" w:type="auto"/>
          </w:tcPr>
          <w:p w14:paraId="57238432" w14:textId="77777777" w:rsidR="007F0800" w:rsidRDefault="00AB12A8">
            <w:pPr>
              <w:pStyle w:val="Compact"/>
            </w:pPr>
            <w:r>
              <w:t>Income tax / Total revenue</w:t>
            </w:r>
          </w:p>
        </w:tc>
        <w:tc>
          <w:tcPr>
            <w:tcW w:w="0" w:type="auto"/>
          </w:tcPr>
          <w:p w14:paraId="08935B38" w14:textId="77777777" w:rsidR="007F0800" w:rsidRDefault="00AB12A8">
            <w:pPr>
              <w:pStyle w:val="Compact"/>
              <w:jc w:val="center"/>
            </w:pPr>
            <w:r>
              <w:t>~7.5%</w:t>
            </w:r>
          </w:p>
        </w:tc>
        <w:tc>
          <w:tcPr>
            <w:tcW w:w="0" w:type="auto"/>
          </w:tcPr>
          <w:p w14:paraId="181F19C9" w14:textId="77777777" w:rsidR="007F0800" w:rsidRDefault="00AB12A8">
            <w:pPr>
              <w:pStyle w:val="Compact"/>
              <w:jc w:val="center"/>
            </w:pPr>
            <w:r>
              <w:t>6.4%</w:t>
            </w:r>
          </w:p>
        </w:tc>
        <w:tc>
          <w:tcPr>
            <w:tcW w:w="0" w:type="auto"/>
          </w:tcPr>
          <w:p w14:paraId="7C2CEE76" w14:textId="77777777" w:rsidR="007F0800" w:rsidRDefault="00AB12A8">
            <w:pPr>
              <w:pStyle w:val="Compact"/>
            </w:pPr>
            <w:r>
              <w:t>Declining share (denominator grew faster)</w:t>
            </w:r>
          </w:p>
        </w:tc>
      </w:tr>
      <w:tr w:rsidR="007F0800" w14:paraId="7E727961" w14:textId="77777777">
        <w:tc>
          <w:tcPr>
            <w:tcW w:w="0" w:type="auto"/>
          </w:tcPr>
          <w:p w14:paraId="3E548A7F" w14:textId="77777777" w:rsidR="007F0800" w:rsidRDefault="00AB12A8">
            <w:pPr>
              <w:pStyle w:val="Compact"/>
            </w:pPr>
            <w:r>
              <w:t>Income tax / Total tax revenue</w:t>
            </w:r>
          </w:p>
        </w:tc>
        <w:tc>
          <w:tcPr>
            <w:tcW w:w="0" w:type="auto"/>
          </w:tcPr>
          <w:p w14:paraId="4C51FBCF" w14:textId="77777777" w:rsidR="007F0800" w:rsidRDefault="00AB12A8">
            <w:pPr>
              <w:pStyle w:val="Compact"/>
              <w:jc w:val="center"/>
            </w:pPr>
            <w:r>
              <w:t>~8.4%</w:t>
            </w:r>
          </w:p>
        </w:tc>
        <w:tc>
          <w:tcPr>
            <w:tcW w:w="0" w:type="auto"/>
          </w:tcPr>
          <w:p w14:paraId="00360D98" w14:textId="77777777" w:rsidR="007F0800" w:rsidRDefault="00AB12A8">
            <w:pPr>
              <w:pStyle w:val="Compact"/>
              <w:jc w:val="center"/>
            </w:pPr>
            <w:r>
              <w:t>6.9%</w:t>
            </w:r>
          </w:p>
        </w:tc>
        <w:tc>
          <w:tcPr>
            <w:tcW w:w="0" w:type="auto"/>
          </w:tcPr>
          <w:p w14:paraId="34B42815" w14:textId="77777777" w:rsidR="007F0800" w:rsidRDefault="00AB12A8">
            <w:pPr>
              <w:pStyle w:val="Compact"/>
            </w:pPr>
            <w:r>
              <w:t>Declining share</w:t>
            </w:r>
          </w:p>
        </w:tc>
      </w:tr>
    </w:tbl>
    <w:p w14:paraId="08A77EF8" w14:textId="77777777" w:rsidR="007F0800" w:rsidRDefault="00AB12A8">
      <w:pPr>
        <w:pStyle w:val="BodyText"/>
      </w:pPr>
      <w:r>
        <w:t>The income tax stagnation was not accidental but structural. Three design features of the 1951 reform (Decreto 510) constrained its revenue potential:</w:t>
      </w:r>
    </w:p>
    <w:p w14:paraId="1CBEA5F8" w14:textId="77777777" w:rsidR="007F0800" w:rsidRDefault="00AB12A8">
      <w:pPr>
        <w:numPr>
          <w:ilvl w:val="0"/>
          <w:numId w:val="3"/>
        </w:numPr>
      </w:pPr>
      <w:r>
        <w:rPr>
          <w:b/>
          <w:bCs/>
        </w:rPr>
        <w:t>Coffee growers exempted.</w:t>
      </w:r>
      <w:r>
        <w:t xml:space="preserve"> Under Decreto 836, coffee producers were exempt from income tax on coffee-derived income while the progressive export levy was in force. This exempted the wealthiest economic sector from the most progressive domestic tax instrument.</w:t>
      </w:r>
    </w:p>
    <w:p w14:paraId="58F1E592" w14:textId="77777777" w:rsidR="007F0800" w:rsidRDefault="00AB12A8">
      <w:pPr>
        <w:numPr>
          <w:ilvl w:val="0"/>
          <w:numId w:val="3"/>
        </w:numPr>
      </w:pPr>
      <w:r>
        <w:rPr>
          <w:b/>
          <w:bCs/>
        </w:rPr>
        <w:t>Maximum corporate rate of 5%.</w:t>
      </w:r>
      <w:r>
        <w:t xml:space="preserve"> The 1951 law set only two corporate brackets — 2.5% on income up to ₡5,000, and 5% above that. The emerging industrial class thus paid at most 5%, versus a maximum individual rate of 44%.</w:t>
      </w:r>
    </w:p>
    <w:p w14:paraId="53010102" w14:textId="77777777" w:rsidR="007F0800" w:rsidRDefault="00AB12A8">
      <w:pPr>
        <w:numPr>
          <w:ilvl w:val="0"/>
          <w:numId w:val="3"/>
        </w:numPr>
      </w:pPr>
      <w:r>
        <w:rPr>
          <w:b/>
          <w:bCs/>
        </w:rPr>
        <w:t>Withholding on salaries.</w:t>
      </w:r>
      <w:r>
        <w:t xml:space="preserve"> The administrative innovation of salary withholding improved compliance for wage earners but did not reach the economic elite’s income from capital, rents, and agriculture.</w:t>
      </w:r>
    </w:p>
    <w:p w14:paraId="689083F0" w14:textId="77777777" w:rsidR="007F0800" w:rsidRDefault="00AB12A8">
      <w:pPr>
        <w:pStyle w:val="FirstParagraph"/>
      </w:pPr>
      <w:r>
        <w:t>The result: the income tax in 1954 was collecting primarily from salaried employees and small businesses — not from the coffee oligarchy or the industrial class. This would not change until the 1961 reform (Decreto 300), which raised the top individual rate to 76.5% and created five corporate brackets up to 15%.</w:t>
      </w:r>
    </w:p>
    <w:p w14:paraId="0B2282B4" w14:textId="77777777" w:rsidR="007F0800" w:rsidRDefault="00AB12A8">
      <w:pPr>
        <w:pStyle w:val="Heading3"/>
      </w:pPr>
      <w:bookmarkStart w:id="9" w:name="revenue-buoyancy"/>
      <w:bookmarkEnd w:id="8"/>
      <w:r>
        <w:t>2.3 Revenue Buoyancy</w:t>
      </w:r>
    </w:p>
    <w:tbl>
      <w:tblPr>
        <w:tblStyle w:val="Table"/>
        <w:tblW w:w="0" w:type="auto"/>
        <w:tblLook w:val="0020" w:firstRow="1" w:lastRow="0" w:firstColumn="0" w:lastColumn="0" w:noHBand="0" w:noVBand="0"/>
      </w:tblPr>
      <w:tblGrid>
        <w:gridCol w:w="1400"/>
        <w:gridCol w:w="1930"/>
        <w:gridCol w:w="3704"/>
      </w:tblGrid>
      <w:tr w:rsidR="007F0800" w14:paraId="73518CC6"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45FCF82D" w14:textId="77777777" w:rsidR="007F0800" w:rsidRDefault="00AB12A8">
            <w:pPr>
              <w:pStyle w:val="Compact"/>
            </w:pPr>
            <w:r>
              <w:t>Period</w:t>
            </w:r>
          </w:p>
        </w:tc>
        <w:tc>
          <w:tcPr>
            <w:tcW w:w="0" w:type="auto"/>
          </w:tcPr>
          <w:p w14:paraId="14C9A673" w14:textId="77777777" w:rsidR="007F0800" w:rsidRDefault="00AB12A8">
            <w:pPr>
              <w:pStyle w:val="Compact"/>
              <w:jc w:val="center"/>
            </w:pPr>
            <w:r>
              <w:t>Revenue Growth</w:t>
            </w:r>
          </w:p>
        </w:tc>
        <w:tc>
          <w:tcPr>
            <w:tcW w:w="0" w:type="auto"/>
          </w:tcPr>
          <w:p w14:paraId="170343ED" w14:textId="77777777" w:rsidR="007F0800" w:rsidRDefault="00AB12A8">
            <w:pPr>
              <w:pStyle w:val="Compact"/>
            </w:pPr>
            <w:r>
              <w:t>Assessment</w:t>
            </w:r>
          </w:p>
        </w:tc>
      </w:tr>
      <w:tr w:rsidR="007F0800" w14:paraId="379F7CC9" w14:textId="77777777">
        <w:tc>
          <w:tcPr>
            <w:tcW w:w="0" w:type="auto"/>
          </w:tcPr>
          <w:p w14:paraId="1A92722E" w14:textId="77777777" w:rsidR="007F0800" w:rsidRDefault="00AB12A8">
            <w:pPr>
              <w:pStyle w:val="Compact"/>
            </w:pPr>
            <w:r>
              <w:t>1949–1950</w:t>
            </w:r>
          </w:p>
        </w:tc>
        <w:tc>
          <w:tcPr>
            <w:tcW w:w="0" w:type="auto"/>
          </w:tcPr>
          <w:p w14:paraId="7F331810" w14:textId="77777777" w:rsidR="007F0800" w:rsidRDefault="00AB12A8">
            <w:pPr>
              <w:pStyle w:val="Compact"/>
              <w:jc w:val="center"/>
            </w:pPr>
            <w:r>
              <w:t>+21%</w:t>
            </w:r>
          </w:p>
        </w:tc>
        <w:tc>
          <w:tcPr>
            <w:tcW w:w="0" w:type="auto"/>
          </w:tcPr>
          <w:p w14:paraId="662F1758" w14:textId="77777777" w:rsidR="007F0800" w:rsidRDefault="00AB12A8">
            <w:pPr>
              <w:pStyle w:val="Compact"/>
            </w:pPr>
            <w:r>
              <w:t>Korean War commodity surge</w:t>
            </w:r>
          </w:p>
        </w:tc>
      </w:tr>
      <w:tr w:rsidR="007F0800" w14:paraId="5D74FAA4" w14:textId="77777777">
        <w:tc>
          <w:tcPr>
            <w:tcW w:w="0" w:type="auto"/>
          </w:tcPr>
          <w:p w14:paraId="7C83017C" w14:textId="77777777" w:rsidR="007F0800" w:rsidRDefault="00AB12A8">
            <w:pPr>
              <w:pStyle w:val="Compact"/>
            </w:pPr>
            <w:r>
              <w:t>1950–1951</w:t>
            </w:r>
          </w:p>
        </w:tc>
        <w:tc>
          <w:tcPr>
            <w:tcW w:w="0" w:type="auto"/>
          </w:tcPr>
          <w:p w14:paraId="48DCE36A" w14:textId="77777777" w:rsidR="007F0800" w:rsidRDefault="00AB12A8">
            <w:pPr>
              <w:pStyle w:val="Compact"/>
              <w:jc w:val="center"/>
            </w:pPr>
            <w:r>
              <w:t>+41%</w:t>
            </w:r>
          </w:p>
        </w:tc>
        <w:tc>
          <w:tcPr>
            <w:tcW w:w="0" w:type="auto"/>
          </w:tcPr>
          <w:p w14:paraId="5D0D2C9A" w14:textId="77777777" w:rsidR="007F0800" w:rsidRDefault="00AB12A8">
            <w:pPr>
              <w:pStyle w:val="Compact"/>
            </w:pPr>
            <w:r>
              <w:t>Peak coffee boom</w:t>
            </w:r>
          </w:p>
        </w:tc>
      </w:tr>
      <w:tr w:rsidR="007F0800" w14:paraId="3FDA1490" w14:textId="77777777">
        <w:tc>
          <w:tcPr>
            <w:tcW w:w="0" w:type="auto"/>
          </w:tcPr>
          <w:p w14:paraId="6BC05897" w14:textId="77777777" w:rsidR="007F0800" w:rsidRDefault="00AB12A8">
            <w:pPr>
              <w:pStyle w:val="Compact"/>
            </w:pPr>
            <w:r>
              <w:t>1951–1952</w:t>
            </w:r>
          </w:p>
        </w:tc>
        <w:tc>
          <w:tcPr>
            <w:tcW w:w="0" w:type="auto"/>
          </w:tcPr>
          <w:p w14:paraId="4D139217" w14:textId="77777777" w:rsidR="007F0800" w:rsidRDefault="00AB12A8">
            <w:pPr>
              <w:pStyle w:val="Compact"/>
              <w:jc w:val="center"/>
            </w:pPr>
            <w:r>
              <w:t>+8%</w:t>
            </w:r>
          </w:p>
        </w:tc>
        <w:tc>
          <w:tcPr>
            <w:tcW w:w="0" w:type="auto"/>
          </w:tcPr>
          <w:p w14:paraId="02D8524D" w14:textId="77777777" w:rsidR="007F0800" w:rsidRDefault="00AB12A8">
            <w:pPr>
              <w:pStyle w:val="Compact"/>
            </w:pPr>
            <w:r>
              <w:t>Post-boom normalization</w:t>
            </w:r>
          </w:p>
        </w:tc>
      </w:tr>
      <w:tr w:rsidR="007F0800" w14:paraId="3097DE98" w14:textId="77777777">
        <w:tc>
          <w:tcPr>
            <w:tcW w:w="0" w:type="auto"/>
          </w:tcPr>
          <w:p w14:paraId="2C53A1D2" w14:textId="77777777" w:rsidR="007F0800" w:rsidRDefault="00AB12A8">
            <w:pPr>
              <w:pStyle w:val="Compact"/>
            </w:pPr>
            <w:r>
              <w:t>1952–1953</w:t>
            </w:r>
          </w:p>
        </w:tc>
        <w:tc>
          <w:tcPr>
            <w:tcW w:w="0" w:type="auto"/>
          </w:tcPr>
          <w:p w14:paraId="1F73C70A" w14:textId="77777777" w:rsidR="007F0800" w:rsidRDefault="00AB12A8">
            <w:pPr>
              <w:pStyle w:val="Compact"/>
              <w:jc w:val="center"/>
            </w:pPr>
            <w:r>
              <w:t>+10%</w:t>
            </w:r>
          </w:p>
        </w:tc>
        <w:tc>
          <w:tcPr>
            <w:tcW w:w="0" w:type="auto"/>
          </w:tcPr>
          <w:p w14:paraId="37A784A1" w14:textId="77777777" w:rsidR="007F0800" w:rsidRDefault="00AB12A8">
            <w:pPr>
              <w:pStyle w:val="Compact"/>
            </w:pPr>
            <w:r>
              <w:t>Moderate recovery</w:t>
            </w:r>
          </w:p>
        </w:tc>
      </w:tr>
      <w:tr w:rsidR="007F0800" w14:paraId="51D101C9" w14:textId="77777777">
        <w:tc>
          <w:tcPr>
            <w:tcW w:w="0" w:type="auto"/>
          </w:tcPr>
          <w:p w14:paraId="4D433958" w14:textId="77777777" w:rsidR="007F0800" w:rsidRDefault="00AB12A8">
            <w:pPr>
              <w:pStyle w:val="Compact"/>
            </w:pPr>
            <w:r>
              <w:t>1953–1954</w:t>
            </w:r>
          </w:p>
        </w:tc>
        <w:tc>
          <w:tcPr>
            <w:tcW w:w="0" w:type="auto"/>
          </w:tcPr>
          <w:p w14:paraId="26FBD3CA" w14:textId="77777777" w:rsidR="007F0800" w:rsidRDefault="00AB12A8">
            <w:pPr>
              <w:pStyle w:val="Compact"/>
              <w:jc w:val="center"/>
            </w:pPr>
            <w:r>
              <w:rPr>
                <w:b/>
                <w:bCs/>
              </w:rPr>
              <w:t>+19%</w:t>
            </w:r>
          </w:p>
        </w:tc>
        <w:tc>
          <w:tcPr>
            <w:tcW w:w="0" w:type="auto"/>
          </w:tcPr>
          <w:p w14:paraId="25F8B8A9" w14:textId="77777777" w:rsidR="007F0800" w:rsidRDefault="00AB12A8">
            <w:pPr>
              <w:pStyle w:val="Compact"/>
            </w:pPr>
            <w:r>
              <w:rPr>
                <w:b/>
                <w:bCs/>
              </w:rPr>
              <w:t>Second wave: coffee price surge</w:t>
            </w:r>
          </w:p>
        </w:tc>
      </w:tr>
    </w:tbl>
    <w:p w14:paraId="5A3E666B" w14:textId="77777777" w:rsidR="007F0800" w:rsidRDefault="00AB12A8">
      <w:pPr>
        <w:pStyle w:val="BodyText"/>
      </w:pPr>
      <w:r>
        <w:t xml:space="preserve">The 19% revenue surge in 1954 was the largest since the exceptional 41% jump in 1951. It confirmed the pattern of a </w:t>
      </w:r>
      <w:r>
        <w:rPr>
          <w:b/>
          <w:bCs/>
        </w:rPr>
        <w:t>highly buoyant but volatile</w:t>
      </w:r>
      <w:r>
        <w:t xml:space="preserve"> revenue system: the progressive export tax structure amplified commodity booms into fiscal windfalls. Revenue had grown 2.4 times in five years (1949–1954).</w:t>
      </w:r>
    </w:p>
    <w:p w14:paraId="26EBEE04" w14:textId="77777777" w:rsidR="007F0800" w:rsidRDefault="00AB12A8">
      <w:pPr>
        <w:pStyle w:val="BodyText"/>
      </w:pPr>
      <w:r>
        <w:rPr>
          <w:b/>
          <w:bCs/>
        </w:rPr>
        <w:t>[DATA GAP: GDP series for 1954 is needed to compute formal buoyancy coefficients and tax-to-GDP ratios. The BCR’s historical national accounts for 1950–1964 should provide nominal GDP in colones corrientes.]</w:t>
      </w:r>
    </w:p>
    <w:p w14:paraId="4416CC72" w14:textId="77777777" w:rsidR="007F0800" w:rsidRDefault="00AB12A8">
      <w:pPr>
        <w:pStyle w:val="Heading3"/>
      </w:pPr>
      <w:bookmarkStart w:id="10" w:name="tax-effort-indicators"/>
      <w:bookmarkEnd w:id="9"/>
      <w:r>
        <w:t>2.4 Tax Effort Indicators</w:t>
      </w:r>
    </w:p>
    <w:tbl>
      <w:tblPr>
        <w:tblStyle w:val="Table"/>
        <w:tblW w:w="0" w:type="auto"/>
        <w:tblLook w:val="0020" w:firstRow="1" w:lastRow="0" w:firstColumn="0" w:lastColumn="0" w:noHBand="0" w:noVBand="0"/>
      </w:tblPr>
      <w:tblGrid>
        <w:gridCol w:w="3732"/>
        <w:gridCol w:w="1716"/>
        <w:gridCol w:w="1497"/>
      </w:tblGrid>
      <w:tr w:rsidR="007F0800" w14:paraId="4DE20CDD"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39AE05B6" w14:textId="77777777" w:rsidR="007F0800" w:rsidRDefault="00AB12A8">
            <w:pPr>
              <w:pStyle w:val="Compact"/>
            </w:pPr>
            <w:r>
              <w:t>Indicator</w:t>
            </w:r>
          </w:p>
        </w:tc>
        <w:tc>
          <w:tcPr>
            <w:tcW w:w="0" w:type="auto"/>
          </w:tcPr>
          <w:p w14:paraId="641DD7DA" w14:textId="77777777" w:rsidR="007F0800" w:rsidRDefault="00AB12A8">
            <w:pPr>
              <w:pStyle w:val="Compact"/>
              <w:jc w:val="center"/>
            </w:pPr>
            <w:r>
              <w:t>1954</w:t>
            </w:r>
          </w:p>
        </w:tc>
        <w:tc>
          <w:tcPr>
            <w:tcW w:w="0" w:type="auto"/>
          </w:tcPr>
          <w:p w14:paraId="67EEC3FF" w14:textId="77777777" w:rsidR="007F0800" w:rsidRDefault="00AB12A8">
            <w:pPr>
              <w:pStyle w:val="Compact"/>
              <w:jc w:val="center"/>
            </w:pPr>
            <w:r>
              <w:t>Benchmark*</w:t>
            </w:r>
          </w:p>
        </w:tc>
      </w:tr>
      <w:tr w:rsidR="007F0800" w14:paraId="21A82C6E" w14:textId="77777777">
        <w:tc>
          <w:tcPr>
            <w:tcW w:w="0" w:type="auto"/>
          </w:tcPr>
          <w:p w14:paraId="74146475" w14:textId="77777777" w:rsidR="007F0800" w:rsidRDefault="00AB12A8">
            <w:pPr>
              <w:pStyle w:val="Compact"/>
            </w:pPr>
            <w:r>
              <w:t>Total Revenue / GDP</w:t>
            </w:r>
          </w:p>
        </w:tc>
        <w:tc>
          <w:tcPr>
            <w:tcW w:w="0" w:type="auto"/>
          </w:tcPr>
          <w:p w14:paraId="4D5EC51A" w14:textId="77777777" w:rsidR="007F0800" w:rsidRDefault="00AB12A8">
            <w:pPr>
              <w:pStyle w:val="Compact"/>
              <w:jc w:val="center"/>
            </w:pPr>
            <w:r>
              <w:t>[pending GDP]</w:t>
            </w:r>
          </w:p>
        </w:tc>
        <w:tc>
          <w:tcPr>
            <w:tcW w:w="0" w:type="auto"/>
          </w:tcPr>
          <w:p w14:paraId="47BC662A" w14:textId="77777777" w:rsidR="007F0800" w:rsidRDefault="00AB12A8">
            <w:pPr>
              <w:pStyle w:val="Compact"/>
              <w:jc w:val="center"/>
            </w:pPr>
            <w:r>
              <w:t>10–15%</w:t>
            </w:r>
          </w:p>
        </w:tc>
      </w:tr>
      <w:tr w:rsidR="007F0800" w14:paraId="40EA3545" w14:textId="77777777">
        <w:tc>
          <w:tcPr>
            <w:tcW w:w="0" w:type="auto"/>
          </w:tcPr>
          <w:p w14:paraId="4BBD4343" w14:textId="77777777" w:rsidR="007F0800" w:rsidRDefault="00AB12A8">
            <w:pPr>
              <w:pStyle w:val="Compact"/>
            </w:pPr>
            <w:r>
              <w:t>Tax Revenue / GDP</w:t>
            </w:r>
          </w:p>
        </w:tc>
        <w:tc>
          <w:tcPr>
            <w:tcW w:w="0" w:type="auto"/>
          </w:tcPr>
          <w:p w14:paraId="36CA503C" w14:textId="77777777" w:rsidR="007F0800" w:rsidRDefault="00AB12A8">
            <w:pPr>
              <w:pStyle w:val="Compact"/>
              <w:jc w:val="center"/>
            </w:pPr>
            <w:r>
              <w:t>[pending GDP]</w:t>
            </w:r>
          </w:p>
        </w:tc>
        <w:tc>
          <w:tcPr>
            <w:tcW w:w="0" w:type="auto"/>
          </w:tcPr>
          <w:p w14:paraId="0A74E10C" w14:textId="77777777" w:rsidR="007F0800" w:rsidRDefault="00AB12A8">
            <w:pPr>
              <w:pStyle w:val="Compact"/>
              <w:jc w:val="center"/>
            </w:pPr>
            <w:r>
              <w:t>8–12%</w:t>
            </w:r>
          </w:p>
        </w:tc>
      </w:tr>
      <w:tr w:rsidR="007F0800" w14:paraId="56551B24" w14:textId="77777777">
        <w:tc>
          <w:tcPr>
            <w:tcW w:w="0" w:type="auto"/>
          </w:tcPr>
          <w:p w14:paraId="740A5C79" w14:textId="77777777" w:rsidR="007F0800" w:rsidRDefault="00AB12A8">
            <w:pPr>
              <w:pStyle w:val="Compact"/>
            </w:pPr>
            <w:r>
              <w:t>Direct Taxes / Total Tax Revenue</w:t>
            </w:r>
          </w:p>
        </w:tc>
        <w:tc>
          <w:tcPr>
            <w:tcW w:w="0" w:type="auto"/>
          </w:tcPr>
          <w:p w14:paraId="4C8A87F1" w14:textId="77777777" w:rsidR="007F0800" w:rsidRDefault="00AB12A8">
            <w:pPr>
              <w:pStyle w:val="Compact"/>
              <w:jc w:val="center"/>
            </w:pPr>
            <w:r>
              <w:t>~8.7%</w:t>
            </w:r>
          </w:p>
        </w:tc>
        <w:tc>
          <w:tcPr>
            <w:tcW w:w="0" w:type="auto"/>
          </w:tcPr>
          <w:p w14:paraId="798DF74C" w14:textId="77777777" w:rsidR="007F0800" w:rsidRDefault="00AB12A8">
            <w:pPr>
              <w:pStyle w:val="Compact"/>
              <w:jc w:val="center"/>
            </w:pPr>
            <w:r>
              <w:t>15–25%</w:t>
            </w:r>
          </w:p>
        </w:tc>
      </w:tr>
      <w:tr w:rsidR="007F0800" w14:paraId="5F078DD5" w14:textId="77777777">
        <w:tc>
          <w:tcPr>
            <w:tcW w:w="0" w:type="auto"/>
          </w:tcPr>
          <w:p w14:paraId="19FF09B9" w14:textId="77777777" w:rsidR="007F0800" w:rsidRDefault="00AB12A8">
            <w:pPr>
              <w:pStyle w:val="Compact"/>
            </w:pPr>
            <w:r>
              <w:t>Income Tax / Total Revenue</w:t>
            </w:r>
          </w:p>
        </w:tc>
        <w:tc>
          <w:tcPr>
            <w:tcW w:w="0" w:type="auto"/>
          </w:tcPr>
          <w:p w14:paraId="6824C948" w14:textId="77777777" w:rsidR="007F0800" w:rsidRDefault="00AB12A8">
            <w:pPr>
              <w:pStyle w:val="Compact"/>
              <w:jc w:val="center"/>
            </w:pPr>
            <w:r>
              <w:t>6.4%</w:t>
            </w:r>
          </w:p>
        </w:tc>
        <w:tc>
          <w:tcPr>
            <w:tcW w:w="0" w:type="auto"/>
          </w:tcPr>
          <w:p w14:paraId="664ACF82" w14:textId="77777777" w:rsidR="007F0800" w:rsidRDefault="00AB12A8">
            <w:pPr>
              <w:pStyle w:val="Compact"/>
              <w:jc w:val="center"/>
            </w:pPr>
            <w:r>
              <w:t>5–10%</w:t>
            </w:r>
          </w:p>
        </w:tc>
      </w:tr>
      <w:tr w:rsidR="007F0800" w14:paraId="5E3A02FD" w14:textId="77777777">
        <w:tc>
          <w:tcPr>
            <w:tcW w:w="0" w:type="auto"/>
          </w:tcPr>
          <w:p w14:paraId="3FD91BE4" w14:textId="77777777" w:rsidR="007F0800" w:rsidRDefault="00AB12A8">
            <w:pPr>
              <w:pStyle w:val="Compact"/>
            </w:pPr>
            <w:r>
              <w:t>Coffee Export Tax / Total Revenue</w:t>
            </w:r>
          </w:p>
        </w:tc>
        <w:tc>
          <w:tcPr>
            <w:tcW w:w="0" w:type="auto"/>
          </w:tcPr>
          <w:p w14:paraId="070FC8CE" w14:textId="77777777" w:rsidR="007F0800" w:rsidRDefault="00AB12A8">
            <w:pPr>
              <w:pStyle w:val="Compact"/>
              <w:jc w:val="center"/>
            </w:pPr>
            <w:r>
              <w:t>27.6%</w:t>
            </w:r>
          </w:p>
        </w:tc>
        <w:tc>
          <w:tcPr>
            <w:tcW w:w="0" w:type="auto"/>
          </w:tcPr>
          <w:p w14:paraId="03974B8D" w14:textId="77777777" w:rsidR="007F0800" w:rsidRDefault="00AB12A8">
            <w:pPr>
              <w:pStyle w:val="Compact"/>
              <w:jc w:val="center"/>
            </w:pPr>
            <w:r>
              <w:t>n/a</w:t>
            </w:r>
          </w:p>
        </w:tc>
      </w:tr>
    </w:tbl>
    <w:p w14:paraId="72918889" w14:textId="77777777" w:rsidR="007F0800" w:rsidRDefault="00AB12A8">
      <w:pPr>
        <w:pStyle w:val="BodyText"/>
      </w:pPr>
      <w:r>
        <w:rPr>
          <w:i/>
          <w:iCs/>
        </w:rPr>
        <w:t>Benchmarks are approximate ranges for comparable low-income Latin American economies in the 1950s.</w:t>
      </w:r>
    </w:p>
    <w:p w14:paraId="542FEDCC" w14:textId="77777777" w:rsidR="007F0800" w:rsidRDefault="00AB12A8">
      <w:pPr>
        <w:pStyle w:val="BodyText"/>
      </w:pPr>
      <w:r>
        <w:rPr>
          <w:b/>
          <w:bCs/>
        </w:rPr>
        <w:t>Assessment:</w:t>
      </w:r>
      <w:r>
        <w:t xml:space="preserve"> Even without GDP data, the extremely low share of direct taxes in total tax revenue (~8.7%) confirms weak domestic tax effort. The state in 1954 was financing itself overwhelmingly through tolls on international trade — particularly through the progressive coffee export tax — rather than through taxation of the domestic economy. The income tax’s share actually </w:t>
      </w:r>
      <w:r>
        <w:rPr>
          <w:i/>
          <w:iCs/>
        </w:rPr>
        <w:t>declined</w:t>
      </w:r>
      <w:r>
        <w:t xml:space="preserve"> from ~7.5% to 6.4% of total revenue as trade taxes surged, demonstrating that the boom widened rather than narrowed the structural imbalanc</w:t>
      </w:r>
      <w:r>
        <w:t>e.</w:t>
      </w:r>
    </w:p>
    <w:p w14:paraId="4DC29907" w14:textId="77777777" w:rsidR="007F0800" w:rsidRDefault="00AB12A8">
      <w:r>
        <w:pict w14:anchorId="7BB81268">
          <v:rect id="_x0000_i1028" style="width:0;height:1.5pt" o:hralign="center" o:hrstd="t" o:hr="t"/>
        </w:pict>
      </w:r>
    </w:p>
    <w:p w14:paraId="3D758D4A" w14:textId="77777777" w:rsidR="007F0800" w:rsidRDefault="00AB12A8">
      <w:pPr>
        <w:pStyle w:val="Heading2"/>
      </w:pPr>
      <w:bookmarkStart w:id="11" w:name="expenditure-rigidity-analysis"/>
      <w:bookmarkEnd w:id="6"/>
      <w:bookmarkEnd w:id="10"/>
      <w:r>
        <w:t>3. Expenditure Rigidity Analysis</w:t>
      </w:r>
    </w:p>
    <w:p w14:paraId="61BA315D" w14:textId="77777777" w:rsidR="007F0800" w:rsidRDefault="00AB12A8">
      <w:pPr>
        <w:pStyle w:val="Heading3"/>
      </w:pPr>
      <w:bookmarkStart w:id="12" w:name="wage-bill-rigidity"/>
      <w:r>
        <w:t>3.1 Wage Bill Rigidity</w:t>
      </w:r>
    </w:p>
    <w:tbl>
      <w:tblPr>
        <w:tblStyle w:val="Table"/>
        <w:tblW w:w="5000" w:type="pct"/>
        <w:tblLook w:val="0020" w:firstRow="1" w:lastRow="0" w:firstColumn="0" w:lastColumn="0" w:noHBand="0" w:noVBand="0"/>
      </w:tblPr>
      <w:tblGrid>
        <w:gridCol w:w="4591"/>
        <w:gridCol w:w="937"/>
        <w:gridCol w:w="937"/>
        <w:gridCol w:w="937"/>
        <w:gridCol w:w="1958"/>
      </w:tblGrid>
      <w:tr w:rsidR="007F0800" w14:paraId="1C48FB12"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3F04A2B0" w14:textId="77777777" w:rsidR="007F0800" w:rsidRDefault="00AB12A8">
            <w:pPr>
              <w:pStyle w:val="Compact"/>
            </w:pPr>
            <w:r>
              <w:t>Indicator</w:t>
            </w:r>
          </w:p>
        </w:tc>
        <w:tc>
          <w:tcPr>
            <w:tcW w:w="0" w:type="auto"/>
          </w:tcPr>
          <w:p w14:paraId="2FE214FA" w14:textId="77777777" w:rsidR="007F0800" w:rsidRDefault="00AB12A8">
            <w:pPr>
              <w:pStyle w:val="Compact"/>
              <w:jc w:val="center"/>
            </w:pPr>
            <w:r>
              <w:t>1952</w:t>
            </w:r>
          </w:p>
        </w:tc>
        <w:tc>
          <w:tcPr>
            <w:tcW w:w="0" w:type="auto"/>
          </w:tcPr>
          <w:p w14:paraId="0F4B88E6" w14:textId="77777777" w:rsidR="007F0800" w:rsidRDefault="00AB12A8">
            <w:pPr>
              <w:pStyle w:val="Compact"/>
              <w:jc w:val="center"/>
            </w:pPr>
            <w:r>
              <w:t>1953</w:t>
            </w:r>
          </w:p>
        </w:tc>
        <w:tc>
          <w:tcPr>
            <w:tcW w:w="0" w:type="auto"/>
          </w:tcPr>
          <w:p w14:paraId="5FCF9D5E" w14:textId="77777777" w:rsidR="007F0800" w:rsidRDefault="00AB12A8">
            <w:pPr>
              <w:pStyle w:val="Compact"/>
              <w:jc w:val="center"/>
            </w:pPr>
            <w:r>
              <w:t>1954</w:t>
            </w:r>
          </w:p>
        </w:tc>
        <w:tc>
          <w:tcPr>
            <w:tcW w:w="0" w:type="auto"/>
          </w:tcPr>
          <w:p w14:paraId="3AD519BB" w14:textId="77777777" w:rsidR="007F0800" w:rsidRDefault="00AB12A8">
            <w:pPr>
              <w:pStyle w:val="Compact"/>
              <w:jc w:val="center"/>
            </w:pPr>
            <w:r>
              <w:t>Alert Threshold</w:t>
            </w:r>
          </w:p>
        </w:tc>
      </w:tr>
      <w:tr w:rsidR="007F0800" w14:paraId="0B83BC6E" w14:textId="77777777">
        <w:tc>
          <w:tcPr>
            <w:tcW w:w="0" w:type="auto"/>
          </w:tcPr>
          <w:p w14:paraId="36D496BD" w14:textId="77777777" w:rsidR="007F0800" w:rsidRDefault="00AB12A8">
            <w:pPr>
              <w:pStyle w:val="Compact"/>
            </w:pPr>
            <w:r>
              <w:t>Personnel spending / Total expenditure</w:t>
            </w:r>
          </w:p>
        </w:tc>
        <w:tc>
          <w:tcPr>
            <w:tcW w:w="0" w:type="auto"/>
          </w:tcPr>
          <w:p w14:paraId="14A7A927" w14:textId="77777777" w:rsidR="007F0800" w:rsidRDefault="00AB12A8">
            <w:pPr>
              <w:pStyle w:val="Compact"/>
              <w:jc w:val="center"/>
            </w:pPr>
            <w:r>
              <w:t>48.2%</w:t>
            </w:r>
          </w:p>
        </w:tc>
        <w:tc>
          <w:tcPr>
            <w:tcW w:w="0" w:type="auto"/>
          </w:tcPr>
          <w:p w14:paraId="7F11047F" w14:textId="77777777" w:rsidR="007F0800" w:rsidRDefault="00AB12A8">
            <w:pPr>
              <w:pStyle w:val="Compact"/>
              <w:jc w:val="center"/>
            </w:pPr>
            <w:r>
              <w:t>49.7%</w:t>
            </w:r>
          </w:p>
        </w:tc>
        <w:tc>
          <w:tcPr>
            <w:tcW w:w="0" w:type="auto"/>
          </w:tcPr>
          <w:p w14:paraId="4AE67957" w14:textId="77777777" w:rsidR="007F0800" w:rsidRDefault="00AB12A8">
            <w:pPr>
              <w:pStyle w:val="Compact"/>
              <w:jc w:val="center"/>
            </w:pPr>
            <w:r>
              <w:t>49.1%</w:t>
            </w:r>
          </w:p>
        </w:tc>
        <w:tc>
          <w:tcPr>
            <w:tcW w:w="0" w:type="auto"/>
          </w:tcPr>
          <w:p w14:paraId="06C9EC87" w14:textId="77777777" w:rsidR="007F0800" w:rsidRDefault="00AB12A8">
            <w:pPr>
              <w:pStyle w:val="Compact"/>
              <w:jc w:val="center"/>
            </w:pPr>
            <w:r>
              <w:t>&gt;50%</w:t>
            </w:r>
          </w:p>
        </w:tc>
      </w:tr>
      <w:tr w:rsidR="007F0800" w14:paraId="41B32426" w14:textId="77777777">
        <w:tc>
          <w:tcPr>
            <w:tcW w:w="0" w:type="auto"/>
          </w:tcPr>
          <w:p w14:paraId="57E08314" w14:textId="77777777" w:rsidR="007F0800" w:rsidRDefault="00AB12A8">
            <w:pPr>
              <w:pStyle w:val="Compact"/>
            </w:pPr>
            <w:r>
              <w:t>Personnel spending / Total revenue</w:t>
            </w:r>
          </w:p>
        </w:tc>
        <w:tc>
          <w:tcPr>
            <w:tcW w:w="0" w:type="auto"/>
          </w:tcPr>
          <w:p w14:paraId="5B117C2B" w14:textId="77777777" w:rsidR="007F0800" w:rsidRDefault="00AB12A8">
            <w:pPr>
              <w:pStyle w:val="Compact"/>
              <w:jc w:val="center"/>
            </w:pPr>
            <w:r>
              <w:t>39.9%</w:t>
            </w:r>
          </w:p>
        </w:tc>
        <w:tc>
          <w:tcPr>
            <w:tcW w:w="0" w:type="auto"/>
          </w:tcPr>
          <w:p w14:paraId="48D558A9" w14:textId="77777777" w:rsidR="007F0800" w:rsidRDefault="00AB12A8">
            <w:pPr>
              <w:pStyle w:val="Compact"/>
              <w:jc w:val="center"/>
            </w:pPr>
            <w:r>
              <w:t>44.0%</w:t>
            </w:r>
          </w:p>
        </w:tc>
        <w:tc>
          <w:tcPr>
            <w:tcW w:w="0" w:type="auto"/>
          </w:tcPr>
          <w:p w14:paraId="3BB71978" w14:textId="77777777" w:rsidR="007F0800" w:rsidRDefault="00AB12A8">
            <w:pPr>
              <w:pStyle w:val="Compact"/>
              <w:jc w:val="center"/>
            </w:pPr>
            <w:r>
              <w:t>41.8%</w:t>
            </w:r>
          </w:p>
        </w:tc>
        <w:tc>
          <w:tcPr>
            <w:tcW w:w="0" w:type="auto"/>
          </w:tcPr>
          <w:p w14:paraId="7A58F4C5" w14:textId="77777777" w:rsidR="007F0800" w:rsidRDefault="00AB12A8">
            <w:pPr>
              <w:pStyle w:val="Compact"/>
              <w:jc w:val="center"/>
            </w:pPr>
            <w:r>
              <w:t>&gt;45%</w:t>
            </w:r>
          </w:p>
        </w:tc>
      </w:tr>
    </w:tbl>
    <w:p w14:paraId="107EA5F1" w14:textId="77777777" w:rsidR="007F0800" w:rsidRDefault="00AB12A8">
      <w:pPr>
        <w:pStyle w:val="BodyText"/>
      </w:pPr>
      <w:r>
        <w:rPr>
          <w:b/>
          <w:bCs/>
        </w:rPr>
        <w:t>Assessment:</w:t>
      </w:r>
      <w:r>
        <w:t xml:space="preserve"> </w:t>
      </w:r>
      <w:r>
        <w:t>The wage bill at 49.1% of expenditure was marginally below the 50% threshold — a slight improvement from 1953’s 49.7%, driven by the rapid growth of non-personnel spending categories (particularly property at 11.0% of the total, reflecting capital investment). However, the personnel/revenue ratio remained elevated at 41.8%. The underlying trajectory was clear: the expanding public workforce (teachers, health workers, police, military) was building a payroll commitment that would prove rigid in a downturn.</w:t>
      </w:r>
    </w:p>
    <w:p w14:paraId="65B0C3BF" w14:textId="77777777" w:rsidR="007F0800" w:rsidRDefault="00AB12A8">
      <w:pPr>
        <w:pStyle w:val="Heading3"/>
      </w:pPr>
      <w:bookmarkStart w:id="13" w:name="expenditure-flexibility-index"/>
      <w:bookmarkEnd w:id="12"/>
      <w:r>
        <w:t>3.2 Expenditure Flexibility Index</w:t>
      </w:r>
    </w:p>
    <w:tbl>
      <w:tblPr>
        <w:tblStyle w:val="Table"/>
        <w:tblW w:w="0" w:type="auto"/>
        <w:tblLook w:val="0020" w:firstRow="1" w:lastRow="0" w:firstColumn="0" w:lastColumn="0" w:noHBand="0" w:noVBand="0"/>
      </w:tblPr>
      <w:tblGrid>
        <w:gridCol w:w="3019"/>
        <w:gridCol w:w="1198"/>
        <w:gridCol w:w="1198"/>
        <w:gridCol w:w="1198"/>
        <w:gridCol w:w="1851"/>
      </w:tblGrid>
      <w:tr w:rsidR="007F0800" w14:paraId="1685383F"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4952753D" w14:textId="77777777" w:rsidR="007F0800" w:rsidRDefault="00AB12A8">
            <w:pPr>
              <w:pStyle w:val="Compact"/>
            </w:pPr>
            <w:r>
              <w:t>Category</w:t>
            </w:r>
          </w:p>
        </w:tc>
        <w:tc>
          <w:tcPr>
            <w:tcW w:w="0" w:type="auto"/>
          </w:tcPr>
          <w:p w14:paraId="7B6892DA" w14:textId="77777777" w:rsidR="007F0800" w:rsidRDefault="00AB12A8">
            <w:pPr>
              <w:pStyle w:val="Compact"/>
              <w:jc w:val="center"/>
            </w:pPr>
            <w:r>
              <w:t>1952 (%)</w:t>
            </w:r>
          </w:p>
        </w:tc>
        <w:tc>
          <w:tcPr>
            <w:tcW w:w="0" w:type="auto"/>
          </w:tcPr>
          <w:p w14:paraId="75D6B266" w14:textId="77777777" w:rsidR="007F0800" w:rsidRDefault="00AB12A8">
            <w:pPr>
              <w:pStyle w:val="Compact"/>
              <w:jc w:val="center"/>
            </w:pPr>
            <w:r>
              <w:t>1953 (%)</w:t>
            </w:r>
          </w:p>
        </w:tc>
        <w:tc>
          <w:tcPr>
            <w:tcW w:w="0" w:type="auto"/>
          </w:tcPr>
          <w:p w14:paraId="4886E0F9" w14:textId="77777777" w:rsidR="007F0800" w:rsidRDefault="00AB12A8">
            <w:pPr>
              <w:pStyle w:val="Compact"/>
              <w:jc w:val="center"/>
            </w:pPr>
            <w:r>
              <w:t>1954 (%)</w:t>
            </w:r>
          </w:p>
        </w:tc>
        <w:tc>
          <w:tcPr>
            <w:tcW w:w="0" w:type="auto"/>
          </w:tcPr>
          <w:p w14:paraId="79719C47" w14:textId="77777777" w:rsidR="007F0800" w:rsidRDefault="00AB12A8">
            <w:pPr>
              <w:pStyle w:val="Compact"/>
              <w:jc w:val="center"/>
            </w:pPr>
            <w:r>
              <w:t>Flexibility</w:t>
            </w:r>
          </w:p>
        </w:tc>
      </w:tr>
      <w:tr w:rsidR="007F0800" w14:paraId="1B6C9D00" w14:textId="77777777">
        <w:tc>
          <w:tcPr>
            <w:tcW w:w="0" w:type="auto"/>
          </w:tcPr>
          <w:p w14:paraId="0FCB8475" w14:textId="77777777" w:rsidR="007F0800" w:rsidRDefault="00AB12A8">
            <w:pPr>
              <w:pStyle w:val="Compact"/>
            </w:pPr>
            <w:r>
              <w:t>Personnel (wages, salaries)</w:t>
            </w:r>
          </w:p>
        </w:tc>
        <w:tc>
          <w:tcPr>
            <w:tcW w:w="0" w:type="auto"/>
          </w:tcPr>
          <w:p w14:paraId="0DA53F7E" w14:textId="77777777" w:rsidR="007F0800" w:rsidRDefault="00AB12A8">
            <w:pPr>
              <w:pStyle w:val="Compact"/>
              <w:jc w:val="center"/>
            </w:pPr>
            <w:r>
              <w:t>48.2%</w:t>
            </w:r>
          </w:p>
        </w:tc>
        <w:tc>
          <w:tcPr>
            <w:tcW w:w="0" w:type="auto"/>
          </w:tcPr>
          <w:p w14:paraId="17818716" w14:textId="77777777" w:rsidR="007F0800" w:rsidRDefault="00AB12A8">
            <w:pPr>
              <w:pStyle w:val="Compact"/>
              <w:jc w:val="center"/>
            </w:pPr>
            <w:r>
              <w:t>49.7%</w:t>
            </w:r>
          </w:p>
        </w:tc>
        <w:tc>
          <w:tcPr>
            <w:tcW w:w="0" w:type="auto"/>
          </w:tcPr>
          <w:p w14:paraId="5F282750" w14:textId="77777777" w:rsidR="007F0800" w:rsidRDefault="00AB12A8">
            <w:pPr>
              <w:pStyle w:val="Compact"/>
              <w:jc w:val="center"/>
            </w:pPr>
            <w:r>
              <w:t>49.1%</w:t>
            </w:r>
          </w:p>
        </w:tc>
        <w:tc>
          <w:tcPr>
            <w:tcW w:w="0" w:type="auto"/>
          </w:tcPr>
          <w:p w14:paraId="22791D7A" w14:textId="77777777" w:rsidR="007F0800" w:rsidRDefault="00AB12A8">
            <w:pPr>
              <w:pStyle w:val="Compact"/>
              <w:jc w:val="center"/>
            </w:pPr>
            <w:r>
              <w:t>RIGID</w:t>
            </w:r>
          </w:p>
        </w:tc>
      </w:tr>
      <w:tr w:rsidR="007F0800" w14:paraId="5E7C320E" w14:textId="77777777">
        <w:tc>
          <w:tcPr>
            <w:tcW w:w="0" w:type="auto"/>
          </w:tcPr>
          <w:p w14:paraId="30CFCE03" w14:textId="77777777" w:rsidR="007F0800" w:rsidRDefault="00AB12A8">
            <w:pPr>
              <w:pStyle w:val="Compact"/>
            </w:pPr>
            <w:r>
              <w:t>Debt service</w:t>
            </w:r>
          </w:p>
        </w:tc>
        <w:tc>
          <w:tcPr>
            <w:tcW w:w="0" w:type="auto"/>
          </w:tcPr>
          <w:p w14:paraId="2F1F07BB" w14:textId="77777777" w:rsidR="007F0800" w:rsidRDefault="00AB12A8">
            <w:pPr>
              <w:pStyle w:val="Compact"/>
              <w:jc w:val="center"/>
            </w:pPr>
            <w:r>
              <w:t>4.6%</w:t>
            </w:r>
          </w:p>
        </w:tc>
        <w:tc>
          <w:tcPr>
            <w:tcW w:w="0" w:type="auto"/>
          </w:tcPr>
          <w:p w14:paraId="54786514" w14:textId="77777777" w:rsidR="007F0800" w:rsidRDefault="00AB12A8">
            <w:pPr>
              <w:pStyle w:val="Compact"/>
              <w:jc w:val="center"/>
            </w:pPr>
            <w:r>
              <w:t>4.3%</w:t>
            </w:r>
          </w:p>
        </w:tc>
        <w:tc>
          <w:tcPr>
            <w:tcW w:w="0" w:type="auto"/>
          </w:tcPr>
          <w:p w14:paraId="29CA896F" w14:textId="77777777" w:rsidR="007F0800" w:rsidRDefault="00AB12A8">
            <w:pPr>
              <w:pStyle w:val="Compact"/>
              <w:jc w:val="center"/>
            </w:pPr>
            <w:r>
              <w:t>3.3%</w:t>
            </w:r>
          </w:p>
        </w:tc>
        <w:tc>
          <w:tcPr>
            <w:tcW w:w="0" w:type="auto"/>
          </w:tcPr>
          <w:p w14:paraId="5A0720A5" w14:textId="77777777" w:rsidR="007F0800" w:rsidRDefault="00AB12A8">
            <w:pPr>
              <w:pStyle w:val="Compact"/>
              <w:jc w:val="center"/>
            </w:pPr>
            <w:r>
              <w:t>RIGID</w:t>
            </w:r>
          </w:p>
        </w:tc>
      </w:tr>
      <w:tr w:rsidR="007F0800" w14:paraId="0811533A" w14:textId="77777777">
        <w:tc>
          <w:tcPr>
            <w:tcW w:w="0" w:type="auto"/>
          </w:tcPr>
          <w:p w14:paraId="5D99344D" w14:textId="77777777" w:rsidR="007F0800" w:rsidRDefault="00AB12A8">
            <w:pPr>
              <w:pStyle w:val="Compact"/>
            </w:pPr>
            <w:r>
              <w:t>Subsidies &amp; transfers</w:t>
            </w:r>
          </w:p>
        </w:tc>
        <w:tc>
          <w:tcPr>
            <w:tcW w:w="0" w:type="auto"/>
          </w:tcPr>
          <w:p w14:paraId="5978596B" w14:textId="77777777" w:rsidR="007F0800" w:rsidRDefault="00AB12A8">
            <w:pPr>
              <w:pStyle w:val="Compact"/>
              <w:jc w:val="center"/>
            </w:pPr>
            <w:r>
              <w:t>21.1%</w:t>
            </w:r>
          </w:p>
        </w:tc>
        <w:tc>
          <w:tcPr>
            <w:tcW w:w="0" w:type="auto"/>
          </w:tcPr>
          <w:p w14:paraId="790B49D7" w14:textId="77777777" w:rsidR="007F0800" w:rsidRDefault="00AB12A8">
            <w:pPr>
              <w:pStyle w:val="Compact"/>
              <w:jc w:val="center"/>
            </w:pPr>
            <w:r>
              <w:t>21.2%</w:t>
            </w:r>
          </w:p>
        </w:tc>
        <w:tc>
          <w:tcPr>
            <w:tcW w:w="0" w:type="auto"/>
          </w:tcPr>
          <w:p w14:paraId="411CB37E" w14:textId="77777777" w:rsidR="007F0800" w:rsidRDefault="00AB12A8">
            <w:pPr>
              <w:pStyle w:val="Compact"/>
              <w:jc w:val="center"/>
            </w:pPr>
            <w:r>
              <w:t>15.2%</w:t>
            </w:r>
          </w:p>
        </w:tc>
        <w:tc>
          <w:tcPr>
            <w:tcW w:w="0" w:type="auto"/>
          </w:tcPr>
          <w:p w14:paraId="051EC251" w14:textId="77777777" w:rsidR="007F0800" w:rsidRDefault="00AB12A8">
            <w:pPr>
              <w:pStyle w:val="Compact"/>
              <w:jc w:val="center"/>
            </w:pPr>
            <w:r>
              <w:t>SEMI-RIGID</w:t>
            </w:r>
          </w:p>
        </w:tc>
      </w:tr>
      <w:tr w:rsidR="007F0800" w14:paraId="0ACBA356" w14:textId="77777777">
        <w:tc>
          <w:tcPr>
            <w:tcW w:w="0" w:type="auto"/>
          </w:tcPr>
          <w:p w14:paraId="1BB29B95" w14:textId="77777777" w:rsidR="007F0800" w:rsidRDefault="00AB12A8">
            <w:pPr>
              <w:pStyle w:val="Compact"/>
            </w:pPr>
            <w:r>
              <w:t>Materials &amp; supplies</w:t>
            </w:r>
          </w:p>
        </w:tc>
        <w:tc>
          <w:tcPr>
            <w:tcW w:w="0" w:type="auto"/>
          </w:tcPr>
          <w:p w14:paraId="2E076FDB" w14:textId="77777777" w:rsidR="007F0800" w:rsidRDefault="00AB12A8">
            <w:pPr>
              <w:pStyle w:val="Compact"/>
              <w:jc w:val="center"/>
            </w:pPr>
            <w:r>
              <w:t>10.1%</w:t>
            </w:r>
          </w:p>
        </w:tc>
        <w:tc>
          <w:tcPr>
            <w:tcW w:w="0" w:type="auto"/>
          </w:tcPr>
          <w:p w14:paraId="6E5AFE65" w14:textId="77777777" w:rsidR="007F0800" w:rsidRDefault="00AB12A8">
            <w:pPr>
              <w:pStyle w:val="Compact"/>
              <w:jc w:val="center"/>
            </w:pPr>
            <w:r>
              <w:t>5.2%</w:t>
            </w:r>
          </w:p>
        </w:tc>
        <w:tc>
          <w:tcPr>
            <w:tcW w:w="0" w:type="auto"/>
          </w:tcPr>
          <w:p w14:paraId="33DE60BA" w14:textId="77777777" w:rsidR="007F0800" w:rsidRDefault="00AB12A8">
            <w:pPr>
              <w:pStyle w:val="Compact"/>
              <w:jc w:val="center"/>
            </w:pPr>
            <w:r>
              <w:t>6.5%</w:t>
            </w:r>
          </w:p>
        </w:tc>
        <w:tc>
          <w:tcPr>
            <w:tcW w:w="0" w:type="auto"/>
          </w:tcPr>
          <w:p w14:paraId="7531991B" w14:textId="77777777" w:rsidR="007F0800" w:rsidRDefault="00AB12A8">
            <w:pPr>
              <w:pStyle w:val="Compact"/>
              <w:jc w:val="center"/>
            </w:pPr>
            <w:r>
              <w:t>FLEXIBLE</w:t>
            </w:r>
          </w:p>
        </w:tc>
      </w:tr>
      <w:tr w:rsidR="007F0800" w14:paraId="2F66FC24" w14:textId="77777777">
        <w:tc>
          <w:tcPr>
            <w:tcW w:w="0" w:type="auto"/>
          </w:tcPr>
          <w:p w14:paraId="4145DDE7" w14:textId="77777777" w:rsidR="007F0800" w:rsidRDefault="00AB12A8">
            <w:pPr>
              <w:pStyle w:val="Compact"/>
            </w:pPr>
            <w:r>
              <w:t>Equipment</w:t>
            </w:r>
          </w:p>
        </w:tc>
        <w:tc>
          <w:tcPr>
            <w:tcW w:w="0" w:type="auto"/>
          </w:tcPr>
          <w:p w14:paraId="305EC195" w14:textId="77777777" w:rsidR="007F0800" w:rsidRDefault="00AB12A8">
            <w:pPr>
              <w:pStyle w:val="Compact"/>
              <w:jc w:val="center"/>
            </w:pPr>
            <w:r>
              <w:t>3.0%</w:t>
            </w:r>
          </w:p>
        </w:tc>
        <w:tc>
          <w:tcPr>
            <w:tcW w:w="0" w:type="auto"/>
          </w:tcPr>
          <w:p w14:paraId="3E3542BA" w14:textId="77777777" w:rsidR="007F0800" w:rsidRDefault="00AB12A8">
            <w:pPr>
              <w:pStyle w:val="Compact"/>
              <w:jc w:val="center"/>
            </w:pPr>
            <w:r>
              <w:t>4.4%</w:t>
            </w:r>
          </w:p>
        </w:tc>
        <w:tc>
          <w:tcPr>
            <w:tcW w:w="0" w:type="auto"/>
          </w:tcPr>
          <w:p w14:paraId="1C4DABFE" w14:textId="77777777" w:rsidR="007F0800" w:rsidRDefault="00AB12A8">
            <w:pPr>
              <w:pStyle w:val="Compact"/>
              <w:jc w:val="center"/>
            </w:pPr>
            <w:r>
              <w:t>5.0%</w:t>
            </w:r>
          </w:p>
        </w:tc>
        <w:tc>
          <w:tcPr>
            <w:tcW w:w="0" w:type="auto"/>
          </w:tcPr>
          <w:p w14:paraId="6ACC019E" w14:textId="77777777" w:rsidR="007F0800" w:rsidRDefault="00AB12A8">
            <w:pPr>
              <w:pStyle w:val="Compact"/>
              <w:jc w:val="center"/>
            </w:pPr>
            <w:r>
              <w:t>FLEXIBLE</w:t>
            </w:r>
          </w:p>
        </w:tc>
      </w:tr>
      <w:tr w:rsidR="007F0800" w14:paraId="05A9D94B" w14:textId="77777777">
        <w:tc>
          <w:tcPr>
            <w:tcW w:w="0" w:type="auto"/>
          </w:tcPr>
          <w:p w14:paraId="1CE3C0BB" w14:textId="77777777" w:rsidR="007F0800" w:rsidRDefault="00AB12A8">
            <w:pPr>
              <w:pStyle w:val="Compact"/>
            </w:pPr>
            <w:r>
              <w:t>Property</w:t>
            </w:r>
          </w:p>
        </w:tc>
        <w:tc>
          <w:tcPr>
            <w:tcW w:w="0" w:type="auto"/>
          </w:tcPr>
          <w:p w14:paraId="68657CA1" w14:textId="77777777" w:rsidR="007F0800" w:rsidRDefault="00AB12A8">
            <w:pPr>
              <w:pStyle w:val="Compact"/>
              <w:jc w:val="center"/>
            </w:pPr>
            <w:r>
              <w:t>1.9%</w:t>
            </w:r>
          </w:p>
        </w:tc>
        <w:tc>
          <w:tcPr>
            <w:tcW w:w="0" w:type="auto"/>
          </w:tcPr>
          <w:p w14:paraId="186B1D42" w14:textId="77777777" w:rsidR="007F0800" w:rsidRDefault="00AB12A8">
            <w:pPr>
              <w:pStyle w:val="Compact"/>
              <w:jc w:val="center"/>
            </w:pPr>
            <w:r>
              <w:t>5.6%</w:t>
            </w:r>
          </w:p>
        </w:tc>
        <w:tc>
          <w:tcPr>
            <w:tcW w:w="0" w:type="auto"/>
          </w:tcPr>
          <w:p w14:paraId="604E2E9D" w14:textId="77777777" w:rsidR="007F0800" w:rsidRDefault="00AB12A8">
            <w:pPr>
              <w:pStyle w:val="Compact"/>
              <w:jc w:val="center"/>
            </w:pPr>
            <w:r>
              <w:t>11.0%</w:t>
            </w:r>
          </w:p>
        </w:tc>
        <w:tc>
          <w:tcPr>
            <w:tcW w:w="0" w:type="auto"/>
          </w:tcPr>
          <w:p w14:paraId="325F1B5F" w14:textId="77777777" w:rsidR="007F0800" w:rsidRDefault="00AB12A8">
            <w:pPr>
              <w:pStyle w:val="Compact"/>
              <w:jc w:val="center"/>
            </w:pPr>
            <w:r>
              <w:t>FLEXIBLE</w:t>
            </w:r>
          </w:p>
        </w:tc>
      </w:tr>
      <w:tr w:rsidR="007F0800" w14:paraId="3B78B52B" w14:textId="77777777">
        <w:tc>
          <w:tcPr>
            <w:tcW w:w="0" w:type="auto"/>
          </w:tcPr>
          <w:p w14:paraId="6001B430" w14:textId="77777777" w:rsidR="007F0800" w:rsidRDefault="00AB12A8">
            <w:pPr>
              <w:pStyle w:val="Compact"/>
            </w:pPr>
            <w:r>
              <w:t>Non-personal services</w:t>
            </w:r>
          </w:p>
        </w:tc>
        <w:tc>
          <w:tcPr>
            <w:tcW w:w="0" w:type="auto"/>
          </w:tcPr>
          <w:p w14:paraId="3C6A7A24" w14:textId="77777777" w:rsidR="007F0800" w:rsidRDefault="00AB12A8">
            <w:pPr>
              <w:pStyle w:val="Compact"/>
              <w:jc w:val="center"/>
            </w:pPr>
            <w:r>
              <w:t>5.5%</w:t>
            </w:r>
          </w:p>
        </w:tc>
        <w:tc>
          <w:tcPr>
            <w:tcW w:w="0" w:type="auto"/>
          </w:tcPr>
          <w:p w14:paraId="5BDC95B6" w14:textId="77777777" w:rsidR="007F0800" w:rsidRDefault="00AB12A8">
            <w:pPr>
              <w:pStyle w:val="Compact"/>
              <w:jc w:val="center"/>
            </w:pPr>
            <w:r>
              <w:t>6.7%</w:t>
            </w:r>
          </w:p>
        </w:tc>
        <w:tc>
          <w:tcPr>
            <w:tcW w:w="0" w:type="auto"/>
          </w:tcPr>
          <w:p w14:paraId="386850C4" w14:textId="77777777" w:rsidR="007F0800" w:rsidRDefault="00AB12A8">
            <w:pPr>
              <w:pStyle w:val="Compact"/>
              <w:jc w:val="center"/>
            </w:pPr>
            <w:r>
              <w:t>4.1%</w:t>
            </w:r>
          </w:p>
        </w:tc>
        <w:tc>
          <w:tcPr>
            <w:tcW w:w="0" w:type="auto"/>
          </w:tcPr>
          <w:p w14:paraId="14EF4D64" w14:textId="77777777" w:rsidR="007F0800" w:rsidRDefault="00AB12A8">
            <w:pPr>
              <w:pStyle w:val="Compact"/>
              <w:jc w:val="center"/>
            </w:pPr>
            <w:r>
              <w:t>SEMI-FLEXIBLE</w:t>
            </w:r>
          </w:p>
        </w:tc>
      </w:tr>
      <w:tr w:rsidR="007F0800" w14:paraId="3328BDD9" w14:textId="77777777">
        <w:tc>
          <w:tcPr>
            <w:tcW w:w="0" w:type="auto"/>
          </w:tcPr>
          <w:p w14:paraId="20CB032C" w14:textId="77777777" w:rsidR="007F0800" w:rsidRDefault="00AB12A8">
            <w:pPr>
              <w:pStyle w:val="Compact"/>
            </w:pPr>
            <w:r>
              <w:t>Other</w:t>
            </w:r>
          </w:p>
        </w:tc>
        <w:tc>
          <w:tcPr>
            <w:tcW w:w="0" w:type="auto"/>
          </w:tcPr>
          <w:p w14:paraId="27456C94" w14:textId="77777777" w:rsidR="007F0800" w:rsidRDefault="00AB12A8">
            <w:pPr>
              <w:pStyle w:val="Compact"/>
              <w:jc w:val="center"/>
            </w:pPr>
            <w:r>
              <w:t>1.5%</w:t>
            </w:r>
          </w:p>
        </w:tc>
        <w:tc>
          <w:tcPr>
            <w:tcW w:w="0" w:type="auto"/>
          </w:tcPr>
          <w:p w14:paraId="2D632915" w14:textId="77777777" w:rsidR="007F0800" w:rsidRDefault="00AB12A8">
            <w:pPr>
              <w:pStyle w:val="Compact"/>
              <w:jc w:val="center"/>
            </w:pPr>
            <w:r>
              <w:t>3.9%</w:t>
            </w:r>
          </w:p>
        </w:tc>
        <w:tc>
          <w:tcPr>
            <w:tcW w:w="0" w:type="auto"/>
          </w:tcPr>
          <w:p w14:paraId="502BD0C3" w14:textId="77777777" w:rsidR="007F0800" w:rsidRDefault="00AB12A8">
            <w:pPr>
              <w:pStyle w:val="Compact"/>
              <w:jc w:val="center"/>
            </w:pPr>
            <w:r>
              <w:t>0.1%</w:t>
            </w:r>
          </w:p>
        </w:tc>
        <w:tc>
          <w:tcPr>
            <w:tcW w:w="0" w:type="auto"/>
          </w:tcPr>
          <w:p w14:paraId="3BF4A347" w14:textId="77777777" w:rsidR="007F0800" w:rsidRDefault="00AB12A8">
            <w:pPr>
              <w:pStyle w:val="Compact"/>
              <w:jc w:val="center"/>
            </w:pPr>
            <w:r>
              <w:t>FLEXIBLE</w:t>
            </w:r>
          </w:p>
        </w:tc>
      </w:tr>
      <w:tr w:rsidR="007F0800" w14:paraId="3EF908F5" w14:textId="77777777">
        <w:tc>
          <w:tcPr>
            <w:tcW w:w="0" w:type="auto"/>
          </w:tcPr>
          <w:p w14:paraId="3D080C9E" w14:textId="77777777" w:rsidR="007F0800" w:rsidRDefault="00AB12A8">
            <w:pPr>
              <w:pStyle w:val="Compact"/>
            </w:pPr>
            <w:r>
              <w:rPr>
                <w:b/>
                <w:bCs/>
              </w:rPr>
              <w:t>Rigid + semi-rigid</w:t>
            </w:r>
          </w:p>
        </w:tc>
        <w:tc>
          <w:tcPr>
            <w:tcW w:w="0" w:type="auto"/>
          </w:tcPr>
          <w:p w14:paraId="78D8DA9E" w14:textId="77777777" w:rsidR="007F0800" w:rsidRDefault="00AB12A8">
            <w:pPr>
              <w:pStyle w:val="Compact"/>
              <w:jc w:val="center"/>
            </w:pPr>
            <w:r>
              <w:rPr>
                <w:b/>
                <w:bCs/>
              </w:rPr>
              <w:t>73.9%</w:t>
            </w:r>
          </w:p>
        </w:tc>
        <w:tc>
          <w:tcPr>
            <w:tcW w:w="0" w:type="auto"/>
          </w:tcPr>
          <w:p w14:paraId="3247DBB5" w14:textId="77777777" w:rsidR="007F0800" w:rsidRDefault="00AB12A8">
            <w:pPr>
              <w:pStyle w:val="Compact"/>
              <w:jc w:val="center"/>
            </w:pPr>
            <w:r>
              <w:rPr>
                <w:b/>
                <w:bCs/>
              </w:rPr>
              <w:t>75.2%</w:t>
            </w:r>
          </w:p>
        </w:tc>
        <w:tc>
          <w:tcPr>
            <w:tcW w:w="0" w:type="auto"/>
          </w:tcPr>
          <w:p w14:paraId="09C46F6C" w14:textId="77777777" w:rsidR="007F0800" w:rsidRDefault="00AB12A8">
            <w:pPr>
              <w:pStyle w:val="Compact"/>
              <w:jc w:val="center"/>
            </w:pPr>
            <w:r>
              <w:rPr>
                <w:b/>
                <w:bCs/>
              </w:rPr>
              <w:t>67.6%</w:t>
            </w:r>
          </w:p>
        </w:tc>
        <w:tc>
          <w:tcPr>
            <w:tcW w:w="0" w:type="auto"/>
          </w:tcPr>
          <w:p w14:paraId="4FF32C58" w14:textId="77777777" w:rsidR="007F0800" w:rsidRDefault="007F0800">
            <w:pPr>
              <w:pStyle w:val="Compact"/>
            </w:pPr>
          </w:p>
        </w:tc>
      </w:tr>
      <w:tr w:rsidR="007F0800" w14:paraId="541BA026" w14:textId="77777777">
        <w:tc>
          <w:tcPr>
            <w:tcW w:w="0" w:type="auto"/>
          </w:tcPr>
          <w:p w14:paraId="72D96270" w14:textId="77777777" w:rsidR="007F0800" w:rsidRDefault="00AB12A8">
            <w:pPr>
              <w:pStyle w:val="Compact"/>
            </w:pPr>
            <w:r>
              <w:rPr>
                <w:b/>
                <w:bCs/>
              </w:rPr>
              <w:t>Flexible</w:t>
            </w:r>
          </w:p>
        </w:tc>
        <w:tc>
          <w:tcPr>
            <w:tcW w:w="0" w:type="auto"/>
          </w:tcPr>
          <w:p w14:paraId="18A24ED0" w14:textId="77777777" w:rsidR="007F0800" w:rsidRDefault="00AB12A8">
            <w:pPr>
              <w:pStyle w:val="Compact"/>
              <w:jc w:val="center"/>
            </w:pPr>
            <w:r>
              <w:rPr>
                <w:b/>
                <w:bCs/>
              </w:rPr>
              <w:t>26.1%</w:t>
            </w:r>
          </w:p>
        </w:tc>
        <w:tc>
          <w:tcPr>
            <w:tcW w:w="0" w:type="auto"/>
          </w:tcPr>
          <w:p w14:paraId="25B6393C" w14:textId="77777777" w:rsidR="007F0800" w:rsidRDefault="00AB12A8">
            <w:pPr>
              <w:pStyle w:val="Compact"/>
              <w:jc w:val="center"/>
            </w:pPr>
            <w:r>
              <w:rPr>
                <w:b/>
                <w:bCs/>
              </w:rPr>
              <w:t>24.8%</w:t>
            </w:r>
          </w:p>
        </w:tc>
        <w:tc>
          <w:tcPr>
            <w:tcW w:w="0" w:type="auto"/>
          </w:tcPr>
          <w:p w14:paraId="5ABE8B10" w14:textId="77777777" w:rsidR="007F0800" w:rsidRDefault="00AB12A8">
            <w:pPr>
              <w:pStyle w:val="Compact"/>
              <w:jc w:val="center"/>
            </w:pPr>
            <w:r>
              <w:rPr>
                <w:b/>
                <w:bCs/>
              </w:rPr>
              <w:t>32.4%</w:t>
            </w:r>
          </w:p>
        </w:tc>
        <w:tc>
          <w:tcPr>
            <w:tcW w:w="0" w:type="auto"/>
          </w:tcPr>
          <w:p w14:paraId="5AE9BD9A" w14:textId="77777777" w:rsidR="007F0800" w:rsidRDefault="007F0800">
            <w:pPr>
              <w:pStyle w:val="Compact"/>
            </w:pPr>
          </w:p>
        </w:tc>
      </w:tr>
    </w:tbl>
    <w:p w14:paraId="42DBBE87" w14:textId="77777777" w:rsidR="007F0800" w:rsidRDefault="00AB12A8">
      <w:pPr>
        <w:pStyle w:val="BodyText"/>
      </w:pPr>
      <w:r>
        <w:rPr>
          <w:b/>
          <w:bCs/>
        </w:rPr>
        <w:t>Assessment:</w:t>
      </w:r>
      <w:r>
        <w:t xml:space="preserve"> The expenditure structure in 1954 was </w:t>
      </w:r>
      <w:r>
        <w:rPr>
          <w:b/>
          <w:bCs/>
        </w:rPr>
        <w:t>less rigid</w:t>
      </w:r>
      <w:r>
        <w:t xml:space="preserve"> than in 1952–53, with the rigid-plus-semi-rigid share declining from 75% to 68%. This improvement was driven by the surge in property expenditure (from 5.6% to 11.0%) — reflecting capital investment in infrastructure — and by the proportional reduction in subsidies (from 21.2% to 15.2%). In a boom year, the government was channeling marginal revenue into flexible investment categories rather than into additional rigid commitments. This was fiscally sound beh</w:t>
      </w:r>
      <w:r>
        <w:t>avior — but the underlying rigid base (personnel + debt + subsidies at 67.6%) was still high and would reassert its dominance when investment spending was compressed.</w:t>
      </w:r>
    </w:p>
    <w:p w14:paraId="03290A07" w14:textId="77777777" w:rsidR="007F0800" w:rsidRDefault="00AB12A8">
      <w:pPr>
        <w:pStyle w:val="Heading3"/>
      </w:pPr>
      <w:bookmarkStart w:id="14" w:name="X90efb89f23ead7ee651a3f2e306f13b0025cc3e"/>
      <w:bookmarkEnd w:id="13"/>
      <w:r>
        <w:t>3.3 The Security Apparatus: Baseline Measurement</w:t>
      </w:r>
    </w:p>
    <w:p w14:paraId="58725EDF" w14:textId="77777777" w:rsidR="007F0800" w:rsidRDefault="00AB12A8">
      <w:pPr>
        <w:pStyle w:val="FirstParagraph"/>
      </w:pPr>
      <w:r>
        <w:t>The 1954 expenditure data establish the baseline for tracking the security apparatus’s fiscal footprint:</w:t>
      </w:r>
    </w:p>
    <w:tbl>
      <w:tblPr>
        <w:tblStyle w:val="Table"/>
        <w:tblW w:w="5000" w:type="pct"/>
        <w:tblLook w:val="0020" w:firstRow="1" w:lastRow="0" w:firstColumn="0" w:lastColumn="0" w:noHBand="0" w:noVBand="0"/>
      </w:tblPr>
      <w:tblGrid>
        <w:gridCol w:w="2278"/>
        <w:gridCol w:w="1851"/>
        <w:gridCol w:w="1189"/>
        <w:gridCol w:w="2417"/>
        <w:gridCol w:w="1625"/>
      </w:tblGrid>
      <w:tr w:rsidR="007F0800" w14:paraId="68B66A87"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36AE70EC" w14:textId="77777777" w:rsidR="007F0800" w:rsidRDefault="00AB12A8">
            <w:pPr>
              <w:pStyle w:val="Compact"/>
            </w:pPr>
            <w:r>
              <w:t>Ramo</w:t>
            </w:r>
          </w:p>
        </w:tc>
        <w:tc>
          <w:tcPr>
            <w:tcW w:w="0" w:type="auto"/>
          </w:tcPr>
          <w:p w14:paraId="5D2EEB65" w14:textId="77777777" w:rsidR="007F0800" w:rsidRDefault="00AB12A8">
            <w:pPr>
              <w:pStyle w:val="Compact"/>
              <w:jc w:val="center"/>
            </w:pPr>
            <w:r>
              <w:t>Total Spending (₡M)</w:t>
            </w:r>
          </w:p>
        </w:tc>
        <w:tc>
          <w:tcPr>
            <w:tcW w:w="0" w:type="auto"/>
          </w:tcPr>
          <w:p w14:paraId="6C095D7A" w14:textId="77777777" w:rsidR="007F0800" w:rsidRDefault="00AB12A8">
            <w:pPr>
              <w:pStyle w:val="Compact"/>
              <w:jc w:val="center"/>
            </w:pPr>
            <w:r>
              <w:t>% of Total</w:t>
            </w:r>
          </w:p>
        </w:tc>
        <w:tc>
          <w:tcPr>
            <w:tcW w:w="0" w:type="auto"/>
          </w:tcPr>
          <w:p w14:paraId="3E53FEB7" w14:textId="77777777" w:rsidR="007F0800" w:rsidRDefault="00AB12A8">
            <w:pPr>
              <w:pStyle w:val="Compact"/>
              <w:jc w:val="center"/>
            </w:pPr>
            <w:r>
              <w:t>Salarios Permanentes (₡M)</w:t>
            </w:r>
          </w:p>
        </w:tc>
        <w:tc>
          <w:tcPr>
            <w:tcW w:w="0" w:type="auto"/>
          </w:tcPr>
          <w:p w14:paraId="375F93D0" w14:textId="77777777" w:rsidR="007F0800" w:rsidRDefault="00AB12A8">
            <w:pPr>
              <w:pStyle w:val="Compact"/>
              <w:jc w:val="center"/>
            </w:pPr>
            <w:r>
              <w:t>% of Total Payroll</w:t>
            </w:r>
          </w:p>
        </w:tc>
      </w:tr>
      <w:tr w:rsidR="007F0800" w14:paraId="7E338A70" w14:textId="77777777">
        <w:tc>
          <w:tcPr>
            <w:tcW w:w="0" w:type="auto"/>
          </w:tcPr>
          <w:p w14:paraId="3921A053" w14:textId="77777777" w:rsidR="007F0800" w:rsidRDefault="00AB12A8">
            <w:pPr>
              <w:pStyle w:val="Compact"/>
            </w:pPr>
            <w:r>
              <w:t>50 — Defensa Nacional</w:t>
            </w:r>
          </w:p>
        </w:tc>
        <w:tc>
          <w:tcPr>
            <w:tcW w:w="0" w:type="auto"/>
          </w:tcPr>
          <w:p w14:paraId="5A105D7A" w14:textId="77777777" w:rsidR="007F0800" w:rsidRDefault="00AB12A8">
            <w:pPr>
              <w:pStyle w:val="Compact"/>
              <w:jc w:val="center"/>
            </w:pPr>
            <w:r>
              <w:t>19.11</w:t>
            </w:r>
          </w:p>
        </w:tc>
        <w:tc>
          <w:tcPr>
            <w:tcW w:w="0" w:type="auto"/>
          </w:tcPr>
          <w:p w14:paraId="40DEFC8B" w14:textId="77777777" w:rsidR="007F0800" w:rsidRDefault="00AB12A8">
            <w:pPr>
              <w:pStyle w:val="Compact"/>
              <w:jc w:val="center"/>
            </w:pPr>
            <w:r>
              <w:t>13.42%</w:t>
            </w:r>
          </w:p>
        </w:tc>
        <w:tc>
          <w:tcPr>
            <w:tcW w:w="0" w:type="auto"/>
          </w:tcPr>
          <w:p w14:paraId="458B3790" w14:textId="77777777" w:rsidR="007F0800" w:rsidRDefault="00AB12A8">
            <w:pPr>
              <w:pStyle w:val="Compact"/>
              <w:jc w:val="center"/>
            </w:pPr>
            <w:r>
              <w:t>10.06</w:t>
            </w:r>
          </w:p>
        </w:tc>
        <w:tc>
          <w:tcPr>
            <w:tcW w:w="0" w:type="auto"/>
          </w:tcPr>
          <w:p w14:paraId="08DF6BB4" w14:textId="77777777" w:rsidR="007F0800" w:rsidRDefault="00AB12A8">
            <w:pPr>
              <w:pStyle w:val="Compact"/>
              <w:jc w:val="center"/>
            </w:pPr>
            <w:r>
              <w:t>16.85%</w:t>
            </w:r>
          </w:p>
        </w:tc>
      </w:tr>
      <w:tr w:rsidR="007F0800" w14:paraId="33797924" w14:textId="77777777">
        <w:tc>
          <w:tcPr>
            <w:tcW w:w="0" w:type="auto"/>
          </w:tcPr>
          <w:p w14:paraId="1A52F7C8" w14:textId="77777777" w:rsidR="007F0800" w:rsidRDefault="00AB12A8">
            <w:pPr>
              <w:pStyle w:val="Compact"/>
            </w:pPr>
            <w:r>
              <w:t>54 — Seguridad Pública</w:t>
            </w:r>
          </w:p>
        </w:tc>
        <w:tc>
          <w:tcPr>
            <w:tcW w:w="0" w:type="auto"/>
          </w:tcPr>
          <w:p w14:paraId="7BF86854" w14:textId="77777777" w:rsidR="007F0800" w:rsidRDefault="00AB12A8">
            <w:pPr>
              <w:pStyle w:val="Compact"/>
              <w:jc w:val="center"/>
            </w:pPr>
            <w:r>
              <w:t>5.19</w:t>
            </w:r>
          </w:p>
        </w:tc>
        <w:tc>
          <w:tcPr>
            <w:tcW w:w="0" w:type="auto"/>
          </w:tcPr>
          <w:p w14:paraId="03C752F5" w14:textId="77777777" w:rsidR="007F0800" w:rsidRDefault="00AB12A8">
            <w:pPr>
              <w:pStyle w:val="Compact"/>
              <w:jc w:val="center"/>
            </w:pPr>
            <w:r>
              <w:t>3.64%</w:t>
            </w:r>
          </w:p>
        </w:tc>
        <w:tc>
          <w:tcPr>
            <w:tcW w:w="0" w:type="auto"/>
          </w:tcPr>
          <w:p w14:paraId="10C63EF9" w14:textId="77777777" w:rsidR="007F0800" w:rsidRDefault="00AB12A8">
            <w:pPr>
              <w:pStyle w:val="Compact"/>
              <w:jc w:val="center"/>
            </w:pPr>
            <w:r>
              <w:t>4.59</w:t>
            </w:r>
          </w:p>
        </w:tc>
        <w:tc>
          <w:tcPr>
            <w:tcW w:w="0" w:type="auto"/>
          </w:tcPr>
          <w:p w14:paraId="206A9241" w14:textId="77777777" w:rsidR="007F0800" w:rsidRDefault="00AB12A8">
            <w:pPr>
              <w:pStyle w:val="Compact"/>
              <w:jc w:val="center"/>
            </w:pPr>
            <w:r>
              <w:t>7.69%</w:t>
            </w:r>
          </w:p>
        </w:tc>
      </w:tr>
      <w:tr w:rsidR="007F0800" w14:paraId="2D8D196C" w14:textId="77777777">
        <w:tc>
          <w:tcPr>
            <w:tcW w:w="0" w:type="auto"/>
          </w:tcPr>
          <w:p w14:paraId="56293664" w14:textId="77777777" w:rsidR="007F0800" w:rsidRDefault="00AB12A8">
            <w:pPr>
              <w:pStyle w:val="Compact"/>
            </w:pPr>
            <w:r>
              <w:t>25 — Gobernación (full)</w:t>
            </w:r>
          </w:p>
        </w:tc>
        <w:tc>
          <w:tcPr>
            <w:tcW w:w="0" w:type="auto"/>
          </w:tcPr>
          <w:p w14:paraId="06186BC7" w14:textId="77777777" w:rsidR="007F0800" w:rsidRDefault="00AB12A8">
            <w:pPr>
              <w:pStyle w:val="Compact"/>
              <w:jc w:val="center"/>
            </w:pPr>
            <w:r>
              <w:t>9.37</w:t>
            </w:r>
          </w:p>
        </w:tc>
        <w:tc>
          <w:tcPr>
            <w:tcW w:w="0" w:type="auto"/>
          </w:tcPr>
          <w:p w14:paraId="71EB75C6" w14:textId="77777777" w:rsidR="007F0800" w:rsidRDefault="00AB12A8">
            <w:pPr>
              <w:pStyle w:val="Compact"/>
              <w:jc w:val="center"/>
            </w:pPr>
            <w:r>
              <w:t>6.58%</w:t>
            </w:r>
          </w:p>
        </w:tc>
        <w:tc>
          <w:tcPr>
            <w:tcW w:w="0" w:type="auto"/>
          </w:tcPr>
          <w:p w14:paraId="71122DE1" w14:textId="77777777" w:rsidR="007F0800" w:rsidRDefault="00AB12A8">
            <w:pPr>
              <w:pStyle w:val="Compact"/>
              <w:jc w:val="center"/>
            </w:pPr>
            <w:r>
              <w:t>5.17</w:t>
            </w:r>
          </w:p>
        </w:tc>
        <w:tc>
          <w:tcPr>
            <w:tcW w:w="0" w:type="auto"/>
          </w:tcPr>
          <w:p w14:paraId="617701CE" w14:textId="77777777" w:rsidR="007F0800" w:rsidRDefault="00AB12A8">
            <w:pPr>
              <w:pStyle w:val="Compact"/>
              <w:jc w:val="center"/>
            </w:pPr>
            <w:r>
              <w:t>8.67%</w:t>
            </w:r>
          </w:p>
        </w:tc>
      </w:tr>
      <w:tr w:rsidR="007F0800" w14:paraId="69253DDC" w14:textId="77777777">
        <w:tc>
          <w:tcPr>
            <w:tcW w:w="0" w:type="auto"/>
          </w:tcPr>
          <w:p w14:paraId="1915190E" w14:textId="77777777" w:rsidR="007F0800" w:rsidRDefault="00AB12A8">
            <w:pPr>
              <w:pStyle w:val="Compact"/>
            </w:pPr>
            <w:r>
              <w:rPr>
                <w:b/>
                <w:bCs/>
              </w:rPr>
              <w:t>Consolidated Security</w:t>
            </w:r>
          </w:p>
        </w:tc>
        <w:tc>
          <w:tcPr>
            <w:tcW w:w="0" w:type="auto"/>
          </w:tcPr>
          <w:p w14:paraId="596EF93D" w14:textId="77777777" w:rsidR="007F0800" w:rsidRDefault="00AB12A8">
            <w:pPr>
              <w:pStyle w:val="Compact"/>
              <w:jc w:val="center"/>
            </w:pPr>
            <w:r>
              <w:rPr>
                <w:b/>
                <w:bCs/>
              </w:rPr>
              <w:t>~29.3</w:t>
            </w:r>
          </w:p>
        </w:tc>
        <w:tc>
          <w:tcPr>
            <w:tcW w:w="0" w:type="auto"/>
          </w:tcPr>
          <w:p w14:paraId="115C7A1F" w14:textId="77777777" w:rsidR="007F0800" w:rsidRDefault="00AB12A8">
            <w:pPr>
              <w:pStyle w:val="Compact"/>
              <w:jc w:val="center"/>
            </w:pPr>
            <w:r>
              <w:rPr>
                <w:b/>
                <w:bCs/>
              </w:rPr>
              <w:t>~20.6%</w:t>
            </w:r>
          </w:p>
        </w:tc>
        <w:tc>
          <w:tcPr>
            <w:tcW w:w="0" w:type="auto"/>
          </w:tcPr>
          <w:p w14:paraId="23C5AC63" w14:textId="77777777" w:rsidR="007F0800" w:rsidRDefault="00AB12A8">
            <w:pPr>
              <w:pStyle w:val="Compact"/>
              <w:jc w:val="center"/>
            </w:pPr>
            <w:r>
              <w:rPr>
                <w:b/>
                <w:bCs/>
              </w:rPr>
              <w:t>19.82</w:t>
            </w:r>
          </w:p>
        </w:tc>
        <w:tc>
          <w:tcPr>
            <w:tcW w:w="0" w:type="auto"/>
          </w:tcPr>
          <w:p w14:paraId="7173237C" w14:textId="77777777" w:rsidR="007F0800" w:rsidRDefault="00AB12A8">
            <w:pPr>
              <w:pStyle w:val="Compact"/>
              <w:jc w:val="center"/>
            </w:pPr>
            <w:r>
              <w:rPr>
                <w:b/>
                <w:bCs/>
              </w:rPr>
              <w:t>33.2%</w:t>
            </w:r>
          </w:p>
        </w:tc>
      </w:tr>
    </w:tbl>
    <w:p w14:paraId="54C31DD4" w14:textId="77777777" w:rsidR="007F0800" w:rsidRDefault="00AB12A8">
      <w:pPr>
        <w:pStyle w:val="BodyText"/>
      </w:pPr>
      <w:r>
        <w:rPr>
          <w:b/>
          <w:bCs/>
        </w:rPr>
        <w:t>Assessment:</w:t>
      </w:r>
      <w:r>
        <w:t xml:space="preserve"> </w:t>
      </w:r>
      <w:r>
        <w:t xml:space="preserve">The consolidated security apparatus in 1954 consumed approximately </w:t>
      </w:r>
      <w:r>
        <w:rPr>
          <w:b/>
          <w:bCs/>
        </w:rPr>
        <w:t>one-fifth of total spending</w:t>
      </w:r>
      <w:r>
        <w:t xml:space="preserve"> and </w:t>
      </w:r>
      <w:r>
        <w:rPr>
          <w:b/>
          <w:bCs/>
        </w:rPr>
        <w:t>one-third of the total permanent payroll</w:t>
      </w:r>
      <w:r>
        <w:t>. This is substantially higher than the headline Defense figure of 13.4% and establishes that the Osorio military government was allocating significant resources to internal security (Policía Nacional, Policía de Hacienda, Guardia Nacional) alongside the Fuerza Armada.</w:t>
      </w:r>
    </w:p>
    <w:p w14:paraId="5C5C1FFC" w14:textId="77777777" w:rsidR="007F0800" w:rsidRDefault="00AB12A8">
      <w:pPr>
        <w:pStyle w:val="BodyText"/>
      </w:pPr>
      <w:r>
        <w:t>For comparison, social/development sectors (Education, Health, Agriculture, Labor, Economy, Public Works) together consumed approximately 65.3% of total spending and 40.6% of the total payroll. The security-to-social payroll ratio was approximately 0.82:1 — roughly ₡4 in security salaries for every ₡5 in social/development salaries.</w:t>
      </w:r>
    </w:p>
    <w:p w14:paraId="5543FBCF" w14:textId="77777777" w:rsidR="007F0800" w:rsidRDefault="00AB12A8">
      <w:r>
        <w:pict w14:anchorId="5FA72AEC">
          <v:rect id="_x0000_i1029" style="width:0;height:1.5pt" o:hralign="center" o:hrstd="t" o:hr="t"/>
        </w:pict>
      </w:r>
    </w:p>
    <w:p w14:paraId="2C20184E" w14:textId="77777777" w:rsidR="007F0800" w:rsidRDefault="00AB12A8">
      <w:pPr>
        <w:pStyle w:val="Heading2"/>
      </w:pPr>
      <w:bookmarkStart w:id="15" w:name="debt-sustainability-analysis"/>
      <w:bookmarkEnd w:id="11"/>
      <w:bookmarkEnd w:id="14"/>
      <w:r>
        <w:t>4. Debt Sustainability Analysis</w:t>
      </w:r>
    </w:p>
    <w:p w14:paraId="66513596" w14:textId="77777777" w:rsidR="007F0800" w:rsidRDefault="00AB12A8">
      <w:pPr>
        <w:pStyle w:val="Heading3"/>
      </w:pPr>
      <w:bookmarkStart w:id="16" w:name="debt-stock-indicators"/>
      <w:r>
        <w:t>4.1 Debt Stock Indicators</w:t>
      </w:r>
    </w:p>
    <w:tbl>
      <w:tblPr>
        <w:tblStyle w:val="Table"/>
        <w:tblW w:w="5000" w:type="pct"/>
        <w:tblLook w:val="0020" w:firstRow="1" w:lastRow="0" w:firstColumn="0" w:lastColumn="0" w:noHBand="0" w:noVBand="0"/>
      </w:tblPr>
      <w:tblGrid>
        <w:gridCol w:w="2682"/>
        <w:gridCol w:w="1687"/>
        <w:gridCol w:w="1687"/>
        <w:gridCol w:w="1687"/>
        <w:gridCol w:w="1617"/>
      </w:tblGrid>
      <w:tr w:rsidR="007F0800" w14:paraId="2749F4B1"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54819FBF" w14:textId="77777777" w:rsidR="007F0800" w:rsidRDefault="00AB12A8">
            <w:pPr>
              <w:pStyle w:val="Compact"/>
            </w:pPr>
            <w:r>
              <w:t>Indicator</w:t>
            </w:r>
          </w:p>
        </w:tc>
        <w:tc>
          <w:tcPr>
            <w:tcW w:w="0" w:type="auto"/>
          </w:tcPr>
          <w:p w14:paraId="0BDA3D94" w14:textId="77777777" w:rsidR="007F0800" w:rsidRDefault="00AB12A8">
            <w:pPr>
              <w:pStyle w:val="Compact"/>
              <w:jc w:val="center"/>
            </w:pPr>
            <w:r>
              <w:t>End-1952</w:t>
            </w:r>
          </w:p>
        </w:tc>
        <w:tc>
          <w:tcPr>
            <w:tcW w:w="0" w:type="auto"/>
          </w:tcPr>
          <w:p w14:paraId="4E790C6A" w14:textId="77777777" w:rsidR="007F0800" w:rsidRDefault="00AB12A8">
            <w:pPr>
              <w:pStyle w:val="Compact"/>
              <w:jc w:val="center"/>
            </w:pPr>
            <w:r>
              <w:t>End-1953</w:t>
            </w:r>
          </w:p>
        </w:tc>
        <w:tc>
          <w:tcPr>
            <w:tcW w:w="0" w:type="auto"/>
          </w:tcPr>
          <w:p w14:paraId="14DE1A73" w14:textId="77777777" w:rsidR="007F0800" w:rsidRDefault="00AB12A8">
            <w:pPr>
              <w:pStyle w:val="Compact"/>
              <w:jc w:val="center"/>
            </w:pPr>
            <w:r>
              <w:t>End-1954</w:t>
            </w:r>
          </w:p>
        </w:tc>
        <w:tc>
          <w:tcPr>
            <w:tcW w:w="0" w:type="auto"/>
          </w:tcPr>
          <w:p w14:paraId="27A95C62" w14:textId="77777777" w:rsidR="007F0800" w:rsidRDefault="00AB12A8">
            <w:pPr>
              <w:pStyle w:val="Compact"/>
              <w:jc w:val="center"/>
            </w:pPr>
            <w:r>
              <w:t>Direction</w:t>
            </w:r>
          </w:p>
        </w:tc>
      </w:tr>
      <w:tr w:rsidR="007F0800" w14:paraId="5A5D4EBC" w14:textId="77777777">
        <w:tc>
          <w:tcPr>
            <w:tcW w:w="0" w:type="auto"/>
          </w:tcPr>
          <w:p w14:paraId="5B3D0304" w14:textId="77777777" w:rsidR="007F0800" w:rsidRDefault="00AB12A8">
            <w:pPr>
              <w:pStyle w:val="Compact"/>
            </w:pPr>
            <w:r>
              <w:t>Total Public Debt</w:t>
            </w:r>
          </w:p>
        </w:tc>
        <w:tc>
          <w:tcPr>
            <w:tcW w:w="0" w:type="auto"/>
          </w:tcPr>
          <w:p w14:paraId="4EA98CB0" w14:textId="77777777" w:rsidR="007F0800" w:rsidRDefault="00AB12A8">
            <w:pPr>
              <w:pStyle w:val="Compact"/>
              <w:jc w:val="center"/>
            </w:pPr>
            <w:r>
              <w:t>₡</w:t>
            </w:r>
            <w:r>
              <w:t>30,583,446</w:t>
            </w:r>
          </w:p>
        </w:tc>
        <w:tc>
          <w:tcPr>
            <w:tcW w:w="0" w:type="auto"/>
          </w:tcPr>
          <w:p w14:paraId="59872CC7" w14:textId="77777777" w:rsidR="007F0800" w:rsidRDefault="00AB12A8">
            <w:pPr>
              <w:pStyle w:val="Compact"/>
              <w:jc w:val="center"/>
            </w:pPr>
            <w:r>
              <w:t>₡</w:t>
            </w:r>
            <w:r>
              <w:t>28,399,013</w:t>
            </w:r>
          </w:p>
        </w:tc>
        <w:tc>
          <w:tcPr>
            <w:tcW w:w="0" w:type="auto"/>
          </w:tcPr>
          <w:p w14:paraId="31CDBD43" w14:textId="77777777" w:rsidR="007F0800" w:rsidRDefault="00AB12A8">
            <w:pPr>
              <w:pStyle w:val="Compact"/>
              <w:jc w:val="center"/>
            </w:pPr>
            <w:r>
              <w:t>₡</w:t>
            </w:r>
            <w:r>
              <w:t>30,317,542</w:t>
            </w:r>
          </w:p>
        </w:tc>
        <w:tc>
          <w:tcPr>
            <w:tcW w:w="0" w:type="auto"/>
          </w:tcPr>
          <w:p w14:paraId="3CE28D8E" w14:textId="77777777" w:rsidR="007F0800" w:rsidRDefault="00AB12A8">
            <w:pPr>
              <w:pStyle w:val="Compact"/>
              <w:jc w:val="center"/>
            </w:pPr>
            <w:r>
              <w:t>↑ reversing</w:t>
            </w:r>
          </w:p>
        </w:tc>
      </w:tr>
      <w:tr w:rsidR="007F0800" w14:paraId="2E6554CC" w14:textId="77777777">
        <w:tc>
          <w:tcPr>
            <w:tcW w:w="0" w:type="auto"/>
          </w:tcPr>
          <w:p w14:paraId="48A26D72" w14:textId="77777777" w:rsidR="007F0800" w:rsidRDefault="00AB12A8">
            <w:pPr>
              <w:pStyle w:val="Compact"/>
            </w:pPr>
            <w:r>
              <w:t>Debt / Total Revenue</w:t>
            </w:r>
          </w:p>
        </w:tc>
        <w:tc>
          <w:tcPr>
            <w:tcW w:w="0" w:type="auto"/>
          </w:tcPr>
          <w:p w14:paraId="1A4D7E84" w14:textId="77777777" w:rsidR="007F0800" w:rsidRDefault="00AB12A8">
            <w:pPr>
              <w:pStyle w:val="Compact"/>
              <w:jc w:val="center"/>
            </w:pPr>
            <w:r>
              <w:t>22.6%</w:t>
            </w:r>
          </w:p>
        </w:tc>
        <w:tc>
          <w:tcPr>
            <w:tcW w:w="0" w:type="auto"/>
          </w:tcPr>
          <w:p w14:paraId="29FB4819" w14:textId="77777777" w:rsidR="007F0800" w:rsidRDefault="00AB12A8">
            <w:pPr>
              <w:pStyle w:val="Compact"/>
              <w:jc w:val="center"/>
            </w:pPr>
            <w:r>
              <w:t>20.2%</w:t>
            </w:r>
          </w:p>
        </w:tc>
        <w:tc>
          <w:tcPr>
            <w:tcW w:w="0" w:type="auto"/>
          </w:tcPr>
          <w:p w14:paraId="2809BF20" w14:textId="77777777" w:rsidR="007F0800" w:rsidRDefault="00AB12A8">
            <w:pPr>
              <w:pStyle w:val="Compact"/>
              <w:jc w:val="center"/>
            </w:pPr>
            <w:r>
              <w:t>18.1%</w:t>
            </w:r>
          </w:p>
        </w:tc>
        <w:tc>
          <w:tcPr>
            <w:tcW w:w="0" w:type="auto"/>
          </w:tcPr>
          <w:p w14:paraId="18F5F283" w14:textId="77777777" w:rsidR="007F0800" w:rsidRDefault="00AB12A8">
            <w:pPr>
              <w:pStyle w:val="Compact"/>
              <w:jc w:val="center"/>
            </w:pPr>
            <w:r>
              <w:t>↓ improving</w:t>
            </w:r>
          </w:p>
        </w:tc>
      </w:tr>
      <w:tr w:rsidR="007F0800" w14:paraId="1C5FF6F9" w14:textId="77777777">
        <w:tc>
          <w:tcPr>
            <w:tcW w:w="0" w:type="auto"/>
          </w:tcPr>
          <w:p w14:paraId="0072DB59" w14:textId="77777777" w:rsidR="007F0800" w:rsidRDefault="00AB12A8">
            <w:pPr>
              <w:pStyle w:val="Compact"/>
            </w:pPr>
            <w:r>
              <w:t>Debt / GDP</w:t>
            </w:r>
          </w:p>
        </w:tc>
        <w:tc>
          <w:tcPr>
            <w:tcW w:w="0" w:type="auto"/>
          </w:tcPr>
          <w:p w14:paraId="51559283" w14:textId="77777777" w:rsidR="007F0800" w:rsidRDefault="00AB12A8">
            <w:pPr>
              <w:pStyle w:val="Compact"/>
              <w:jc w:val="center"/>
            </w:pPr>
            <w:r>
              <w:t>[pending]</w:t>
            </w:r>
          </w:p>
        </w:tc>
        <w:tc>
          <w:tcPr>
            <w:tcW w:w="0" w:type="auto"/>
          </w:tcPr>
          <w:p w14:paraId="5AE299BC" w14:textId="77777777" w:rsidR="007F0800" w:rsidRDefault="00AB12A8">
            <w:pPr>
              <w:pStyle w:val="Compact"/>
              <w:jc w:val="center"/>
            </w:pPr>
            <w:r>
              <w:t>[pending]</w:t>
            </w:r>
          </w:p>
        </w:tc>
        <w:tc>
          <w:tcPr>
            <w:tcW w:w="0" w:type="auto"/>
          </w:tcPr>
          <w:p w14:paraId="4230A70D" w14:textId="77777777" w:rsidR="007F0800" w:rsidRDefault="00AB12A8">
            <w:pPr>
              <w:pStyle w:val="Compact"/>
              <w:jc w:val="center"/>
            </w:pPr>
            <w:r>
              <w:t>[pending]</w:t>
            </w:r>
          </w:p>
        </w:tc>
        <w:tc>
          <w:tcPr>
            <w:tcW w:w="0" w:type="auto"/>
          </w:tcPr>
          <w:p w14:paraId="5F856AD3" w14:textId="77777777" w:rsidR="007F0800" w:rsidRDefault="007F0800">
            <w:pPr>
              <w:pStyle w:val="Compact"/>
            </w:pPr>
          </w:p>
        </w:tc>
      </w:tr>
    </w:tbl>
    <w:p w14:paraId="28926B86" w14:textId="77777777" w:rsidR="007F0800" w:rsidRDefault="00AB12A8">
      <w:pPr>
        <w:pStyle w:val="BodyText"/>
      </w:pPr>
      <w:r>
        <w:rPr>
          <w:b/>
          <w:bCs/>
        </w:rPr>
        <w:t>Note:</w:t>
      </w:r>
      <w:r>
        <w:t xml:space="preserve"> </w:t>
      </w:r>
      <w:r>
        <w:t xml:space="preserve">Total debt </w:t>
      </w:r>
      <w:r>
        <w:rPr>
          <w:i/>
          <w:iCs/>
        </w:rPr>
        <w:t>increased</w:t>
      </w:r>
      <w:r>
        <w:t xml:space="preserve"> </w:t>
      </w:r>
      <w:r>
        <w:t>between end-1953 and end-1954 (from ₡28.4 million to ₡30.3 million), reversing the downward trend of 1952–53. This reflects the activation of new project borrowing — particularly the BCR pagarés (₡5.0 million) and the early stages of the Valle de La Esperanza and infrastructure financing — which exceeded the amortization of the 1922 loan. However, the debt-to-revenue ratio continued to improve because revenue grew even faster than debt.</w:t>
      </w:r>
    </w:p>
    <w:p w14:paraId="1433CEF2" w14:textId="77777777" w:rsidR="007F0800" w:rsidRDefault="00AB12A8">
      <w:pPr>
        <w:pStyle w:val="Heading3"/>
      </w:pPr>
      <w:bookmarkStart w:id="17" w:name="debt-service-indicators"/>
      <w:bookmarkEnd w:id="16"/>
      <w:r>
        <w:t>4.2 Debt Service Indicators</w:t>
      </w:r>
    </w:p>
    <w:tbl>
      <w:tblPr>
        <w:tblStyle w:val="Table"/>
        <w:tblW w:w="0" w:type="auto"/>
        <w:tblLook w:val="0020" w:firstRow="1" w:lastRow="0" w:firstColumn="0" w:lastColumn="0" w:noHBand="0" w:noVBand="0"/>
      </w:tblPr>
      <w:tblGrid>
        <w:gridCol w:w="3582"/>
        <w:gridCol w:w="878"/>
        <w:gridCol w:w="878"/>
        <w:gridCol w:w="933"/>
        <w:gridCol w:w="1834"/>
      </w:tblGrid>
      <w:tr w:rsidR="007F0800" w14:paraId="20816D2C"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2296D688" w14:textId="77777777" w:rsidR="007F0800" w:rsidRDefault="00AB12A8">
            <w:pPr>
              <w:pStyle w:val="Compact"/>
            </w:pPr>
            <w:r>
              <w:t>Indicator</w:t>
            </w:r>
          </w:p>
        </w:tc>
        <w:tc>
          <w:tcPr>
            <w:tcW w:w="0" w:type="auto"/>
          </w:tcPr>
          <w:p w14:paraId="0FB0F73A" w14:textId="77777777" w:rsidR="007F0800" w:rsidRDefault="00AB12A8">
            <w:pPr>
              <w:pStyle w:val="Compact"/>
              <w:jc w:val="center"/>
            </w:pPr>
            <w:r>
              <w:t>1952</w:t>
            </w:r>
          </w:p>
        </w:tc>
        <w:tc>
          <w:tcPr>
            <w:tcW w:w="0" w:type="auto"/>
          </w:tcPr>
          <w:p w14:paraId="13091B0E" w14:textId="77777777" w:rsidR="007F0800" w:rsidRDefault="00AB12A8">
            <w:pPr>
              <w:pStyle w:val="Compact"/>
              <w:jc w:val="center"/>
            </w:pPr>
            <w:r>
              <w:t>1953</w:t>
            </w:r>
          </w:p>
        </w:tc>
        <w:tc>
          <w:tcPr>
            <w:tcW w:w="0" w:type="auto"/>
          </w:tcPr>
          <w:p w14:paraId="5F5F974A" w14:textId="77777777" w:rsidR="007F0800" w:rsidRDefault="00AB12A8">
            <w:pPr>
              <w:pStyle w:val="Compact"/>
              <w:jc w:val="center"/>
            </w:pPr>
            <w:r>
              <w:t>1954</w:t>
            </w:r>
          </w:p>
        </w:tc>
        <w:tc>
          <w:tcPr>
            <w:tcW w:w="0" w:type="auto"/>
          </w:tcPr>
          <w:p w14:paraId="713BDC5A" w14:textId="77777777" w:rsidR="007F0800" w:rsidRDefault="00AB12A8">
            <w:pPr>
              <w:pStyle w:val="Compact"/>
              <w:jc w:val="center"/>
            </w:pPr>
            <w:r>
              <w:t>Alert Threshold</w:t>
            </w:r>
          </w:p>
        </w:tc>
      </w:tr>
      <w:tr w:rsidR="007F0800" w14:paraId="2CCDEF83" w14:textId="77777777">
        <w:tc>
          <w:tcPr>
            <w:tcW w:w="0" w:type="auto"/>
          </w:tcPr>
          <w:p w14:paraId="2045E9DB" w14:textId="77777777" w:rsidR="007F0800" w:rsidRDefault="00AB12A8">
            <w:pPr>
              <w:pStyle w:val="Compact"/>
            </w:pPr>
            <w:r>
              <w:t>Debt Service / Total Expenditure</w:t>
            </w:r>
          </w:p>
        </w:tc>
        <w:tc>
          <w:tcPr>
            <w:tcW w:w="0" w:type="auto"/>
          </w:tcPr>
          <w:p w14:paraId="35294B3B" w14:textId="77777777" w:rsidR="007F0800" w:rsidRDefault="00AB12A8">
            <w:pPr>
              <w:pStyle w:val="Compact"/>
              <w:jc w:val="center"/>
            </w:pPr>
            <w:r>
              <w:t>4.6%</w:t>
            </w:r>
          </w:p>
        </w:tc>
        <w:tc>
          <w:tcPr>
            <w:tcW w:w="0" w:type="auto"/>
          </w:tcPr>
          <w:p w14:paraId="0C37D3A7" w14:textId="77777777" w:rsidR="007F0800" w:rsidRDefault="00AB12A8">
            <w:pPr>
              <w:pStyle w:val="Compact"/>
              <w:jc w:val="center"/>
            </w:pPr>
            <w:r>
              <w:t>4.3%</w:t>
            </w:r>
          </w:p>
        </w:tc>
        <w:tc>
          <w:tcPr>
            <w:tcW w:w="0" w:type="auto"/>
          </w:tcPr>
          <w:p w14:paraId="54BF7081" w14:textId="77777777" w:rsidR="007F0800" w:rsidRDefault="00AB12A8">
            <w:pPr>
              <w:pStyle w:val="Compact"/>
              <w:jc w:val="center"/>
            </w:pPr>
            <w:r>
              <w:rPr>
                <w:b/>
                <w:bCs/>
              </w:rPr>
              <w:t>3.3%</w:t>
            </w:r>
          </w:p>
        </w:tc>
        <w:tc>
          <w:tcPr>
            <w:tcW w:w="0" w:type="auto"/>
          </w:tcPr>
          <w:p w14:paraId="4F4BDF9A" w14:textId="77777777" w:rsidR="007F0800" w:rsidRDefault="00AB12A8">
            <w:pPr>
              <w:pStyle w:val="Compact"/>
              <w:jc w:val="center"/>
            </w:pPr>
            <w:r>
              <w:t>&gt;15%</w:t>
            </w:r>
          </w:p>
        </w:tc>
      </w:tr>
      <w:tr w:rsidR="007F0800" w14:paraId="779F1952" w14:textId="77777777">
        <w:tc>
          <w:tcPr>
            <w:tcW w:w="0" w:type="auto"/>
          </w:tcPr>
          <w:p w14:paraId="736A42E3" w14:textId="77777777" w:rsidR="007F0800" w:rsidRDefault="00AB12A8">
            <w:pPr>
              <w:pStyle w:val="Compact"/>
            </w:pPr>
            <w:r>
              <w:t>Debt Service / Total Revenue</w:t>
            </w:r>
          </w:p>
        </w:tc>
        <w:tc>
          <w:tcPr>
            <w:tcW w:w="0" w:type="auto"/>
          </w:tcPr>
          <w:p w14:paraId="4E94F78C" w14:textId="77777777" w:rsidR="007F0800" w:rsidRDefault="00AB12A8">
            <w:pPr>
              <w:pStyle w:val="Compact"/>
              <w:jc w:val="center"/>
            </w:pPr>
            <w:r>
              <w:t>3.8%</w:t>
            </w:r>
          </w:p>
        </w:tc>
        <w:tc>
          <w:tcPr>
            <w:tcW w:w="0" w:type="auto"/>
          </w:tcPr>
          <w:p w14:paraId="43E9A414" w14:textId="77777777" w:rsidR="007F0800" w:rsidRDefault="00AB12A8">
            <w:pPr>
              <w:pStyle w:val="Compact"/>
              <w:jc w:val="center"/>
            </w:pPr>
            <w:r>
              <w:t>3.8%</w:t>
            </w:r>
          </w:p>
        </w:tc>
        <w:tc>
          <w:tcPr>
            <w:tcW w:w="0" w:type="auto"/>
          </w:tcPr>
          <w:p w14:paraId="75487485" w14:textId="77777777" w:rsidR="007F0800" w:rsidRDefault="00AB12A8">
            <w:pPr>
              <w:pStyle w:val="Compact"/>
              <w:jc w:val="center"/>
            </w:pPr>
            <w:r>
              <w:rPr>
                <w:b/>
                <w:bCs/>
              </w:rPr>
              <w:t>2.8%</w:t>
            </w:r>
          </w:p>
        </w:tc>
        <w:tc>
          <w:tcPr>
            <w:tcW w:w="0" w:type="auto"/>
          </w:tcPr>
          <w:p w14:paraId="77AB09AD" w14:textId="77777777" w:rsidR="007F0800" w:rsidRDefault="00AB12A8">
            <w:pPr>
              <w:pStyle w:val="Compact"/>
              <w:jc w:val="center"/>
            </w:pPr>
            <w:r>
              <w:t>&gt;20%</w:t>
            </w:r>
          </w:p>
        </w:tc>
      </w:tr>
      <w:tr w:rsidR="007F0800" w14:paraId="3611E2D2" w14:textId="77777777">
        <w:tc>
          <w:tcPr>
            <w:tcW w:w="0" w:type="auto"/>
          </w:tcPr>
          <w:p w14:paraId="2D9B5926" w14:textId="77777777" w:rsidR="007F0800" w:rsidRDefault="00AB12A8">
            <w:pPr>
              <w:pStyle w:val="Compact"/>
            </w:pPr>
            <w:r>
              <w:t>Total Debt / Total Revenue</w:t>
            </w:r>
          </w:p>
        </w:tc>
        <w:tc>
          <w:tcPr>
            <w:tcW w:w="0" w:type="auto"/>
          </w:tcPr>
          <w:p w14:paraId="3BB7D21C" w14:textId="77777777" w:rsidR="007F0800" w:rsidRDefault="00AB12A8">
            <w:pPr>
              <w:pStyle w:val="Compact"/>
              <w:jc w:val="center"/>
            </w:pPr>
            <w:r>
              <w:t>22.6%</w:t>
            </w:r>
          </w:p>
        </w:tc>
        <w:tc>
          <w:tcPr>
            <w:tcW w:w="0" w:type="auto"/>
          </w:tcPr>
          <w:p w14:paraId="160444B5" w14:textId="77777777" w:rsidR="007F0800" w:rsidRDefault="00AB12A8">
            <w:pPr>
              <w:pStyle w:val="Compact"/>
              <w:jc w:val="center"/>
            </w:pPr>
            <w:r>
              <w:t>20.2%</w:t>
            </w:r>
          </w:p>
        </w:tc>
        <w:tc>
          <w:tcPr>
            <w:tcW w:w="0" w:type="auto"/>
          </w:tcPr>
          <w:p w14:paraId="3CCC80A3" w14:textId="77777777" w:rsidR="007F0800" w:rsidRDefault="00AB12A8">
            <w:pPr>
              <w:pStyle w:val="Compact"/>
              <w:jc w:val="center"/>
            </w:pPr>
            <w:r>
              <w:rPr>
                <w:b/>
                <w:bCs/>
              </w:rPr>
              <w:t>18.1%</w:t>
            </w:r>
          </w:p>
        </w:tc>
        <w:tc>
          <w:tcPr>
            <w:tcW w:w="0" w:type="auto"/>
          </w:tcPr>
          <w:p w14:paraId="0C6FBF7D" w14:textId="77777777" w:rsidR="007F0800" w:rsidRDefault="00AB12A8">
            <w:pPr>
              <w:pStyle w:val="Compact"/>
              <w:jc w:val="center"/>
            </w:pPr>
            <w:r>
              <w:t>&gt;60%</w:t>
            </w:r>
          </w:p>
        </w:tc>
      </w:tr>
    </w:tbl>
    <w:p w14:paraId="673765E8" w14:textId="77777777" w:rsidR="007F0800" w:rsidRDefault="00AB12A8">
      <w:pPr>
        <w:pStyle w:val="BodyText"/>
      </w:pPr>
      <w:r>
        <w:rPr>
          <w:b/>
          <w:bCs/>
        </w:rPr>
        <w:t>Assessment:</w:t>
      </w:r>
      <w:r>
        <w:t xml:space="preserve"> </w:t>
      </w:r>
      <w:r>
        <w:t>All three core debt indicators improved to their best levels in the series. Debt service at 3.3% of expenditure and 2.8% of revenue was well below any alert threshold — indeed, this represents one of the lightest debt burdens in Salvadoran fiscal history. As Pleites notes, public debt as a share of GDP reached its historic low (~2%) around 1951–1953; the 1954 data capture the government near this trough.</w:t>
      </w:r>
    </w:p>
    <w:p w14:paraId="534D6A65" w14:textId="77777777" w:rsidR="007F0800" w:rsidRDefault="00AB12A8">
      <w:pPr>
        <w:pStyle w:val="Heading3"/>
      </w:pPr>
      <w:bookmarkStart w:id="18" w:name="debt-dynamics-assessment"/>
      <w:bookmarkEnd w:id="17"/>
      <w:r>
        <w:t>4.3 Debt Dynamics Assessment</w:t>
      </w:r>
    </w:p>
    <w:p w14:paraId="5BF77ADC" w14:textId="77777777" w:rsidR="007F0800" w:rsidRDefault="00AB12A8">
      <w:pPr>
        <w:pStyle w:val="FirstParagraph"/>
      </w:pPr>
      <w:r>
        <w:t xml:space="preserve">The debt dynamics in 1954 were </w:t>
      </w:r>
      <w:r>
        <w:rPr>
          <w:b/>
          <w:bCs/>
        </w:rPr>
        <w:t>favorable but transitioning</w:t>
      </w:r>
      <w:r>
        <w:t>:</w:t>
      </w:r>
    </w:p>
    <w:p w14:paraId="40311F6A" w14:textId="77777777" w:rsidR="007F0800" w:rsidRDefault="00AB12A8">
      <w:pPr>
        <w:pStyle w:val="Compact"/>
        <w:numPr>
          <w:ilvl w:val="0"/>
          <w:numId w:val="4"/>
        </w:numPr>
      </w:pPr>
      <w:r>
        <w:t xml:space="preserve">The </w:t>
      </w:r>
      <w:r>
        <w:rPr>
          <w:b/>
          <w:bCs/>
        </w:rPr>
        <w:t>debt-to-revenue ratio fell</w:t>
      </w:r>
      <w:r>
        <w:t xml:space="preserve"> (20.2% → 18.1%) as the 19% revenue surge outpaced the modest increase in debt stock.</w:t>
      </w:r>
    </w:p>
    <w:p w14:paraId="378F0903" w14:textId="77777777" w:rsidR="007F0800" w:rsidRDefault="00AB12A8">
      <w:pPr>
        <w:pStyle w:val="Compact"/>
        <w:numPr>
          <w:ilvl w:val="0"/>
          <w:numId w:val="4"/>
        </w:numPr>
      </w:pPr>
      <w:r>
        <w:rPr>
          <w:b/>
          <w:bCs/>
        </w:rPr>
        <w:t>Debt service declined</w:t>
      </w:r>
      <w:r>
        <w:t xml:space="preserve"> both in absolute terms (₡4.73M vs. ₡5.34M in 1953) and as a share of expenditure (3.3% vs. 4.3%).</w:t>
      </w:r>
    </w:p>
    <w:p w14:paraId="05599A53" w14:textId="77777777" w:rsidR="007F0800" w:rsidRDefault="00AB12A8">
      <w:pPr>
        <w:pStyle w:val="Compact"/>
        <w:numPr>
          <w:ilvl w:val="0"/>
          <w:numId w:val="4"/>
        </w:numPr>
      </w:pPr>
      <w:r>
        <w:t xml:space="preserve">The </w:t>
      </w:r>
      <w:r>
        <w:rPr>
          <w:b/>
          <w:bCs/>
        </w:rPr>
        <w:t>Empréstito Interno de Aprovisionamiento was halved</w:t>
      </w:r>
      <w:r>
        <w:t xml:space="preserve"> (from ₡4.0 million to ₡2.0 million), a major amortization payment.</w:t>
      </w:r>
    </w:p>
    <w:p w14:paraId="59821AA6" w14:textId="77777777" w:rsidR="007F0800" w:rsidRDefault="00AB12A8">
      <w:pPr>
        <w:pStyle w:val="Compact"/>
        <w:numPr>
          <w:ilvl w:val="0"/>
          <w:numId w:val="4"/>
        </w:numPr>
      </w:pPr>
      <w:r>
        <w:t xml:space="preserve">However, </w:t>
      </w:r>
      <w:r>
        <w:rPr>
          <w:b/>
          <w:bCs/>
        </w:rPr>
        <w:t>new borrowing emerged</w:t>
      </w:r>
      <w:r>
        <w:t>: the BCR pagarés (₡5.0 million), the early stages of the Valle de La Esperanza bonds, and the forthcoming Carretera del Litoral IBRD loan were building a pipeline of future debt service obligations.</w:t>
      </w:r>
    </w:p>
    <w:p w14:paraId="6F452A7E" w14:textId="77777777" w:rsidR="007F0800" w:rsidRDefault="00AB12A8">
      <w:pPr>
        <w:pStyle w:val="Compact"/>
        <w:numPr>
          <w:ilvl w:val="0"/>
          <w:numId w:val="4"/>
        </w:numPr>
      </w:pPr>
      <w:r>
        <w:t>The fundamental sustainability condition (</w:t>
      </w:r>
      <w:r>
        <w:rPr>
          <w:b/>
          <w:bCs/>
        </w:rPr>
        <w:t>r &lt; g</w:t>
      </w:r>
      <w:r>
        <w:t>) was easily satisfied, with revenue growing at 19% against an implied interest rate of approximately 3–4%.</w:t>
      </w:r>
    </w:p>
    <w:p w14:paraId="4B7C1BF5" w14:textId="77777777" w:rsidR="007F0800" w:rsidRDefault="00AB12A8">
      <w:pPr>
        <w:pStyle w:val="Heading3"/>
      </w:pPr>
      <w:bookmarkStart w:id="19" w:name="fiscal-space-assessment"/>
      <w:bookmarkEnd w:id="18"/>
      <w:r>
        <w:t>4.4 Fiscal Space Assessment</w:t>
      </w:r>
    </w:p>
    <w:tbl>
      <w:tblPr>
        <w:tblStyle w:val="Table"/>
        <w:tblW w:w="0" w:type="auto"/>
        <w:tblLook w:val="0020" w:firstRow="1" w:lastRow="0" w:firstColumn="0" w:lastColumn="0" w:noHBand="0" w:noVBand="0"/>
      </w:tblPr>
      <w:tblGrid>
        <w:gridCol w:w="2959"/>
        <w:gridCol w:w="1782"/>
        <w:gridCol w:w="1269"/>
        <w:gridCol w:w="1812"/>
      </w:tblGrid>
      <w:tr w:rsidR="007F0800" w14:paraId="716FB83D"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73496D54" w14:textId="77777777" w:rsidR="007F0800" w:rsidRDefault="00AB12A8">
            <w:pPr>
              <w:pStyle w:val="Compact"/>
            </w:pPr>
            <w:r>
              <w:t>Scenario</w:t>
            </w:r>
          </w:p>
        </w:tc>
        <w:tc>
          <w:tcPr>
            <w:tcW w:w="0" w:type="auto"/>
          </w:tcPr>
          <w:p w14:paraId="62F41BDC" w14:textId="77777777" w:rsidR="007F0800" w:rsidRDefault="00AB12A8">
            <w:pPr>
              <w:pStyle w:val="Compact"/>
              <w:jc w:val="center"/>
            </w:pPr>
            <w:r>
              <w:t>Current (1954)</w:t>
            </w:r>
          </w:p>
        </w:tc>
        <w:tc>
          <w:tcPr>
            <w:tcW w:w="0" w:type="auto"/>
          </w:tcPr>
          <w:p w14:paraId="49DDB9F0" w14:textId="77777777" w:rsidR="007F0800" w:rsidRDefault="00AB12A8">
            <w:pPr>
              <w:pStyle w:val="Compact"/>
              <w:jc w:val="center"/>
            </w:pPr>
            <w:r>
              <w:t>Threshold</w:t>
            </w:r>
          </w:p>
        </w:tc>
        <w:tc>
          <w:tcPr>
            <w:tcW w:w="0" w:type="auto"/>
          </w:tcPr>
          <w:p w14:paraId="5A32FF0F" w14:textId="77777777" w:rsidR="007F0800" w:rsidRDefault="00AB12A8">
            <w:pPr>
              <w:pStyle w:val="Compact"/>
              <w:jc w:val="center"/>
            </w:pPr>
            <w:r>
              <w:t>Available Space</w:t>
            </w:r>
          </w:p>
        </w:tc>
      </w:tr>
      <w:tr w:rsidR="007F0800" w14:paraId="6ECD8090" w14:textId="77777777">
        <w:tc>
          <w:tcPr>
            <w:tcW w:w="0" w:type="auto"/>
          </w:tcPr>
          <w:p w14:paraId="65FBFB89" w14:textId="77777777" w:rsidR="007F0800" w:rsidRDefault="00AB12A8">
            <w:pPr>
              <w:pStyle w:val="Compact"/>
            </w:pPr>
            <w:r>
              <w:t>Debt service / expenditure</w:t>
            </w:r>
          </w:p>
        </w:tc>
        <w:tc>
          <w:tcPr>
            <w:tcW w:w="0" w:type="auto"/>
          </w:tcPr>
          <w:p w14:paraId="0EEDAEE2" w14:textId="77777777" w:rsidR="007F0800" w:rsidRDefault="00AB12A8">
            <w:pPr>
              <w:pStyle w:val="Compact"/>
              <w:jc w:val="center"/>
            </w:pPr>
            <w:r>
              <w:t>3.3%</w:t>
            </w:r>
          </w:p>
        </w:tc>
        <w:tc>
          <w:tcPr>
            <w:tcW w:w="0" w:type="auto"/>
          </w:tcPr>
          <w:p w14:paraId="4F5ACE18" w14:textId="77777777" w:rsidR="007F0800" w:rsidRDefault="00AB12A8">
            <w:pPr>
              <w:pStyle w:val="Compact"/>
              <w:jc w:val="center"/>
            </w:pPr>
            <w:r>
              <w:t>15%</w:t>
            </w:r>
          </w:p>
        </w:tc>
        <w:tc>
          <w:tcPr>
            <w:tcW w:w="0" w:type="auto"/>
          </w:tcPr>
          <w:p w14:paraId="69A15F2F" w14:textId="77777777" w:rsidR="007F0800" w:rsidRDefault="00AB12A8">
            <w:pPr>
              <w:pStyle w:val="Compact"/>
              <w:jc w:val="center"/>
            </w:pPr>
            <w:r>
              <w:t>₡</w:t>
            </w:r>
            <w:r>
              <w:t>16.7 million*</w:t>
            </w:r>
          </w:p>
        </w:tc>
      </w:tr>
      <w:tr w:rsidR="007F0800" w14:paraId="63994D0F" w14:textId="77777777">
        <w:tc>
          <w:tcPr>
            <w:tcW w:w="0" w:type="auto"/>
          </w:tcPr>
          <w:p w14:paraId="5CCA0321" w14:textId="77777777" w:rsidR="007F0800" w:rsidRDefault="00AB12A8">
            <w:pPr>
              <w:pStyle w:val="Compact"/>
            </w:pPr>
            <w:r>
              <w:t>Debt service / revenue</w:t>
            </w:r>
          </w:p>
        </w:tc>
        <w:tc>
          <w:tcPr>
            <w:tcW w:w="0" w:type="auto"/>
          </w:tcPr>
          <w:p w14:paraId="4CE6FBB4" w14:textId="77777777" w:rsidR="007F0800" w:rsidRDefault="00AB12A8">
            <w:pPr>
              <w:pStyle w:val="Compact"/>
              <w:jc w:val="center"/>
            </w:pPr>
            <w:r>
              <w:t>2.8%</w:t>
            </w:r>
          </w:p>
        </w:tc>
        <w:tc>
          <w:tcPr>
            <w:tcW w:w="0" w:type="auto"/>
          </w:tcPr>
          <w:p w14:paraId="545305C0" w14:textId="77777777" w:rsidR="007F0800" w:rsidRDefault="00AB12A8">
            <w:pPr>
              <w:pStyle w:val="Compact"/>
              <w:jc w:val="center"/>
            </w:pPr>
            <w:r>
              <w:t>20%</w:t>
            </w:r>
          </w:p>
        </w:tc>
        <w:tc>
          <w:tcPr>
            <w:tcW w:w="0" w:type="auto"/>
          </w:tcPr>
          <w:p w14:paraId="10107D08" w14:textId="77777777" w:rsidR="007F0800" w:rsidRDefault="00AB12A8">
            <w:pPr>
              <w:pStyle w:val="Compact"/>
              <w:jc w:val="center"/>
            </w:pPr>
            <w:r>
              <w:t>₡</w:t>
            </w:r>
            <w:r>
              <w:t>28.8 million*</w:t>
            </w:r>
          </w:p>
        </w:tc>
      </w:tr>
      <w:tr w:rsidR="007F0800" w14:paraId="3AD067A3" w14:textId="77777777">
        <w:tc>
          <w:tcPr>
            <w:tcW w:w="0" w:type="auto"/>
          </w:tcPr>
          <w:p w14:paraId="0B2E1849" w14:textId="77777777" w:rsidR="007F0800" w:rsidRDefault="00AB12A8">
            <w:pPr>
              <w:pStyle w:val="Compact"/>
            </w:pPr>
            <w:r>
              <w:t>Debt / revenue</w:t>
            </w:r>
          </w:p>
        </w:tc>
        <w:tc>
          <w:tcPr>
            <w:tcW w:w="0" w:type="auto"/>
          </w:tcPr>
          <w:p w14:paraId="02666836" w14:textId="77777777" w:rsidR="007F0800" w:rsidRDefault="00AB12A8">
            <w:pPr>
              <w:pStyle w:val="Compact"/>
              <w:jc w:val="center"/>
            </w:pPr>
            <w:r>
              <w:t>18.1%</w:t>
            </w:r>
          </w:p>
        </w:tc>
        <w:tc>
          <w:tcPr>
            <w:tcW w:w="0" w:type="auto"/>
          </w:tcPr>
          <w:p w14:paraId="2DB8A23B" w14:textId="77777777" w:rsidR="007F0800" w:rsidRDefault="00AB12A8">
            <w:pPr>
              <w:pStyle w:val="Compact"/>
              <w:jc w:val="center"/>
            </w:pPr>
            <w:r>
              <w:t>60%</w:t>
            </w:r>
          </w:p>
        </w:tc>
        <w:tc>
          <w:tcPr>
            <w:tcW w:w="0" w:type="auto"/>
          </w:tcPr>
          <w:p w14:paraId="1F347745" w14:textId="77777777" w:rsidR="007F0800" w:rsidRDefault="00AB12A8">
            <w:pPr>
              <w:pStyle w:val="Compact"/>
              <w:jc w:val="center"/>
            </w:pPr>
            <w:r>
              <w:t>₡</w:t>
            </w:r>
            <w:r>
              <w:t>70.1 million</w:t>
            </w:r>
          </w:p>
        </w:tc>
      </w:tr>
    </w:tbl>
    <w:p w14:paraId="68249C53" w14:textId="77777777" w:rsidR="007F0800" w:rsidRDefault="00AB12A8">
      <w:pPr>
        <w:pStyle w:val="BodyText"/>
      </w:pPr>
      <w:r>
        <w:rPr>
          <w:i/>
          <w:iCs/>
        </w:rPr>
        <w:t>Assumes new borrowing at 5% interest with 15-year amortization.</w:t>
      </w:r>
    </w:p>
    <w:p w14:paraId="5F8DFA43" w14:textId="77777777" w:rsidR="007F0800" w:rsidRDefault="00AB12A8">
      <w:pPr>
        <w:pStyle w:val="BodyText"/>
      </w:pPr>
      <w:r>
        <w:rPr>
          <w:b/>
          <w:bCs/>
        </w:rPr>
        <w:t>Interpretation:</w:t>
      </w:r>
      <w:r>
        <w:t xml:space="preserve"> The government in 1954 had </w:t>
      </w:r>
      <w:r>
        <w:rPr>
          <w:b/>
          <w:bCs/>
        </w:rPr>
        <w:t>maximum fiscal space</w:t>
      </w:r>
      <w:r>
        <w:t xml:space="preserve"> for additional borrowing. Under the debt/revenue criterion, the government could theoretically more than triple its debt stock before approaching conventional distress thresholds. This fiscal space was the precondition for the infrastructure program — the 5 de Noviembre hydroelectric plant (completed June 1954), the Acajutla port, the road network expansion, and the forthcoming Carretera del Litoral — that defined the Osorio administration’s developmental amb</w:t>
      </w:r>
      <w:r>
        <w:t>ition.</w:t>
      </w:r>
    </w:p>
    <w:p w14:paraId="64C6BB92" w14:textId="77777777" w:rsidR="007F0800" w:rsidRDefault="00AB12A8">
      <w:pPr>
        <w:pStyle w:val="BodyText"/>
      </w:pPr>
      <w:r>
        <w:t>The question was not whether the government could borrow, but whether the revenue base could sustain the service obligations when the coffee boom ended. The 1954 fiscal space was built on commodity-cycle revenue that could contract by 15–20% in a downturn — potentially transforming comfortable debt ratios into binding constraints within one to two years.</w:t>
      </w:r>
    </w:p>
    <w:p w14:paraId="3716CB12" w14:textId="77777777" w:rsidR="007F0800" w:rsidRDefault="00AB12A8">
      <w:r>
        <w:pict w14:anchorId="2B26856A">
          <v:rect id="_x0000_i1030" style="width:0;height:1.5pt" o:hralign="center" o:hrstd="t" o:hr="t"/>
        </w:pict>
      </w:r>
    </w:p>
    <w:p w14:paraId="0079551F" w14:textId="77777777" w:rsidR="007F0800" w:rsidRDefault="00AB12A8">
      <w:pPr>
        <w:pStyle w:val="Heading2"/>
      </w:pPr>
      <w:bookmarkStart w:id="20" w:name="the-dual-budget-problem"/>
      <w:bookmarkEnd w:id="15"/>
      <w:bookmarkEnd w:id="19"/>
      <w:r>
        <w:t>5. The Dual-Budget Problem</w:t>
      </w:r>
    </w:p>
    <w:p w14:paraId="49C34919" w14:textId="77777777" w:rsidR="007F0800" w:rsidRDefault="00AB12A8">
      <w:pPr>
        <w:pStyle w:val="Heading3"/>
      </w:pPr>
      <w:bookmarkStart w:id="21" w:name="consolidated-fiscal-position"/>
      <w:r>
        <w:t>5.1 Consolidated Fiscal Position</w:t>
      </w:r>
    </w:p>
    <w:tbl>
      <w:tblPr>
        <w:tblStyle w:val="Table"/>
        <w:tblW w:w="0" w:type="auto"/>
        <w:tblLook w:val="0020" w:firstRow="1" w:lastRow="0" w:firstColumn="0" w:lastColumn="0" w:noHBand="0" w:noVBand="0"/>
      </w:tblPr>
      <w:tblGrid>
        <w:gridCol w:w="4396"/>
        <w:gridCol w:w="1644"/>
      </w:tblGrid>
      <w:tr w:rsidR="007F0800" w14:paraId="64B40A12"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63D81ED2" w14:textId="77777777" w:rsidR="007F0800" w:rsidRDefault="00AB12A8">
            <w:pPr>
              <w:pStyle w:val="Compact"/>
            </w:pPr>
            <w:r>
              <w:t>Component</w:t>
            </w:r>
          </w:p>
        </w:tc>
        <w:tc>
          <w:tcPr>
            <w:tcW w:w="0" w:type="auto"/>
          </w:tcPr>
          <w:p w14:paraId="75234251" w14:textId="77777777" w:rsidR="007F0800" w:rsidRDefault="00AB12A8">
            <w:pPr>
              <w:pStyle w:val="Compact"/>
              <w:jc w:val="center"/>
            </w:pPr>
            <w:r>
              <w:t>1954</w:t>
            </w:r>
          </w:p>
        </w:tc>
      </w:tr>
      <w:tr w:rsidR="007F0800" w14:paraId="7C49A69A" w14:textId="77777777">
        <w:tc>
          <w:tcPr>
            <w:tcW w:w="0" w:type="auto"/>
          </w:tcPr>
          <w:p w14:paraId="69F33D10" w14:textId="77777777" w:rsidR="007F0800" w:rsidRDefault="00AB12A8">
            <w:pPr>
              <w:pStyle w:val="Compact"/>
            </w:pPr>
            <w:r>
              <w:t>General Fund Expenditure</w:t>
            </w:r>
          </w:p>
        </w:tc>
        <w:tc>
          <w:tcPr>
            <w:tcW w:w="0" w:type="auto"/>
          </w:tcPr>
          <w:p w14:paraId="337A7790" w14:textId="77777777" w:rsidR="007F0800" w:rsidRDefault="00AB12A8">
            <w:pPr>
              <w:pStyle w:val="Compact"/>
              <w:jc w:val="center"/>
            </w:pPr>
            <w:r>
              <w:t>₡</w:t>
            </w:r>
            <w:r>
              <w:t>142,426,810</w:t>
            </w:r>
          </w:p>
        </w:tc>
      </w:tr>
      <w:tr w:rsidR="007F0800" w14:paraId="1EC65A78" w14:textId="77777777">
        <w:tc>
          <w:tcPr>
            <w:tcW w:w="0" w:type="auto"/>
          </w:tcPr>
          <w:p w14:paraId="3089533D" w14:textId="77777777" w:rsidR="007F0800" w:rsidRDefault="00AB12A8">
            <w:pPr>
              <w:pStyle w:val="Compact"/>
            </w:pPr>
            <w:r>
              <w:t>Empréstito Aprovisionamiento (utilized)</w:t>
            </w:r>
          </w:p>
        </w:tc>
        <w:tc>
          <w:tcPr>
            <w:tcW w:w="0" w:type="auto"/>
          </w:tcPr>
          <w:p w14:paraId="1F4B1737" w14:textId="77777777" w:rsidR="007F0800" w:rsidRDefault="00AB12A8">
            <w:pPr>
              <w:pStyle w:val="Compact"/>
              <w:jc w:val="center"/>
            </w:pPr>
            <w:r>
              <w:t>~₡9,868,000</w:t>
            </w:r>
          </w:p>
        </w:tc>
      </w:tr>
      <w:tr w:rsidR="007F0800" w14:paraId="44F5B7CD" w14:textId="77777777">
        <w:tc>
          <w:tcPr>
            <w:tcW w:w="0" w:type="auto"/>
          </w:tcPr>
          <w:p w14:paraId="3A897DFE" w14:textId="77777777" w:rsidR="007F0800" w:rsidRPr="001C1233" w:rsidRDefault="00AB12A8">
            <w:pPr>
              <w:pStyle w:val="Compact"/>
              <w:rPr>
                <w:lang w:val="es-SV"/>
              </w:rPr>
            </w:pPr>
            <w:r w:rsidRPr="001C1233">
              <w:rPr>
                <w:lang w:val="es-SV"/>
              </w:rPr>
              <w:t>Valle de La Esperanza (utilized)</w:t>
            </w:r>
          </w:p>
        </w:tc>
        <w:tc>
          <w:tcPr>
            <w:tcW w:w="0" w:type="auto"/>
          </w:tcPr>
          <w:p w14:paraId="47B34F4A" w14:textId="77777777" w:rsidR="007F0800" w:rsidRDefault="00AB12A8">
            <w:pPr>
              <w:pStyle w:val="Compact"/>
              <w:jc w:val="center"/>
            </w:pPr>
            <w:r>
              <w:t>~₡2,126,000</w:t>
            </w:r>
          </w:p>
        </w:tc>
      </w:tr>
      <w:tr w:rsidR="007F0800" w14:paraId="2840EC8E" w14:textId="77777777">
        <w:tc>
          <w:tcPr>
            <w:tcW w:w="0" w:type="auto"/>
          </w:tcPr>
          <w:p w14:paraId="21991F39" w14:textId="77777777" w:rsidR="007F0800" w:rsidRDefault="00AB12A8">
            <w:pPr>
              <w:pStyle w:val="Compact"/>
            </w:pPr>
            <w:r>
              <w:t>Camino Interamericano (utilized)</w:t>
            </w:r>
          </w:p>
        </w:tc>
        <w:tc>
          <w:tcPr>
            <w:tcW w:w="0" w:type="auto"/>
          </w:tcPr>
          <w:p w14:paraId="0A4F88D4" w14:textId="77777777" w:rsidR="007F0800" w:rsidRDefault="00AB12A8">
            <w:pPr>
              <w:pStyle w:val="Compact"/>
              <w:jc w:val="center"/>
            </w:pPr>
            <w:r>
              <w:t>~₡927,000</w:t>
            </w:r>
          </w:p>
        </w:tc>
      </w:tr>
      <w:tr w:rsidR="007F0800" w14:paraId="51AC7EB5" w14:textId="77777777">
        <w:tc>
          <w:tcPr>
            <w:tcW w:w="0" w:type="auto"/>
          </w:tcPr>
          <w:p w14:paraId="5DBFDE9F" w14:textId="77777777" w:rsidR="007F0800" w:rsidRDefault="00AB12A8">
            <w:pPr>
              <w:pStyle w:val="Compact"/>
            </w:pPr>
            <w:r>
              <w:t>Muelle de Acajutla (utilized)</w:t>
            </w:r>
          </w:p>
        </w:tc>
        <w:tc>
          <w:tcPr>
            <w:tcW w:w="0" w:type="auto"/>
          </w:tcPr>
          <w:p w14:paraId="24CC6E34" w14:textId="77777777" w:rsidR="007F0800" w:rsidRDefault="00AB12A8">
            <w:pPr>
              <w:pStyle w:val="Compact"/>
              <w:jc w:val="center"/>
            </w:pPr>
            <w:r>
              <w:t>~₡33,000</w:t>
            </w:r>
          </w:p>
        </w:tc>
      </w:tr>
      <w:tr w:rsidR="007F0800" w14:paraId="42122D6B" w14:textId="77777777">
        <w:tc>
          <w:tcPr>
            <w:tcW w:w="0" w:type="auto"/>
          </w:tcPr>
          <w:p w14:paraId="6185B9F9" w14:textId="77777777" w:rsidR="007F0800" w:rsidRDefault="00AB12A8">
            <w:pPr>
              <w:pStyle w:val="Compact"/>
            </w:pPr>
            <w:r>
              <w:t>Proveeduría General (utilized)</w:t>
            </w:r>
          </w:p>
        </w:tc>
        <w:tc>
          <w:tcPr>
            <w:tcW w:w="0" w:type="auto"/>
          </w:tcPr>
          <w:p w14:paraId="623C6597" w14:textId="77777777" w:rsidR="007F0800" w:rsidRDefault="00AB12A8">
            <w:pPr>
              <w:pStyle w:val="Compact"/>
              <w:jc w:val="center"/>
            </w:pPr>
            <w:r>
              <w:t>~₡83,000</w:t>
            </w:r>
          </w:p>
        </w:tc>
      </w:tr>
      <w:tr w:rsidR="007F0800" w14:paraId="7A3C5ABD" w14:textId="77777777">
        <w:tc>
          <w:tcPr>
            <w:tcW w:w="0" w:type="auto"/>
          </w:tcPr>
          <w:p w14:paraId="4E653A5C" w14:textId="77777777" w:rsidR="007F0800" w:rsidRDefault="00AB12A8">
            <w:pPr>
              <w:pStyle w:val="Compact"/>
            </w:pPr>
            <w:r>
              <w:rPr>
                <w:b/>
                <w:bCs/>
              </w:rPr>
              <w:t>Estimated Consolidated Expenditure</w:t>
            </w:r>
          </w:p>
        </w:tc>
        <w:tc>
          <w:tcPr>
            <w:tcW w:w="0" w:type="auto"/>
          </w:tcPr>
          <w:p w14:paraId="1C7CC91F" w14:textId="77777777" w:rsidR="007F0800" w:rsidRDefault="00AB12A8">
            <w:pPr>
              <w:pStyle w:val="Compact"/>
              <w:jc w:val="center"/>
            </w:pPr>
            <w:r>
              <w:rPr>
                <w:b/>
                <w:bCs/>
              </w:rPr>
              <w:t>~₡155.5M</w:t>
            </w:r>
          </w:p>
        </w:tc>
      </w:tr>
      <w:tr w:rsidR="007F0800" w14:paraId="7D76EFFE" w14:textId="77777777">
        <w:tc>
          <w:tcPr>
            <w:tcW w:w="0" w:type="auto"/>
          </w:tcPr>
          <w:p w14:paraId="7871F280" w14:textId="77777777" w:rsidR="007F0800" w:rsidRDefault="00AB12A8">
            <w:pPr>
              <w:pStyle w:val="Compact"/>
            </w:pPr>
            <w:r>
              <w:rPr>
                <w:b/>
                <w:bCs/>
              </w:rPr>
              <w:t>Consolidated Expenditure / Revenue</w:t>
            </w:r>
          </w:p>
        </w:tc>
        <w:tc>
          <w:tcPr>
            <w:tcW w:w="0" w:type="auto"/>
          </w:tcPr>
          <w:p w14:paraId="467123CB" w14:textId="77777777" w:rsidR="007F0800" w:rsidRDefault="00AB12A8">
            <w:pPr>
              <w:pStyle w:val="Compact"/>
              <w:jc w:val="center"/>
            </w:pPr>
            <w:r>
              <w:rPr>
                <w:b/>
                <w:bCs/>
              </w:rPr>
              <w:t>~92.9%</w:t>
            </w:r>
          </w:p>
        </w:tc>
      </w:tr>
    </w:tbl>
    <w:p w14:paraId="56E1EDE4" w14:textId="77777777" w:rsidR="007F0800" w:rsidRDefault="00AB12A8">
      <w:pPr>
        <w:pStyle w:val="BodyText"/>
      </w:pPr>
      <w:r>
        <w:rPr>
          <w:b/>
          <w:bCs/>
        </w:rPr>
        <w:t>Assessment:</w:t>
      </w:r>
      <w:r>
        <w:t xml:space="preserve"> </w:t>
      </w:r>
      <w:r>
        <w:t>When extraordinary fund spending is consolidated with the General Fund, the apparent headline surplus of ₡25.0 million narrows to approximately ₡11.9 million — still a healthy surplus, but substantially thinner than the headline suggests. The Aprovisionamiento fund alone (₡9.9 million) represented a major additional spending channel not captured in the General Fund headline.</w:t>
      </w:r>
    </w:p>
    <w:p w14:paraId="34701F2B" w14:textId="77777777" w:rsidR="007F0800" w:rsidRDefault="00AB12A8">
      <w:pPr>
        <w:pStyle w:val="Heading3"/>
      </w:pPr>
      <w:bookmarkStart w:id="22" w:name="contingent-liabilities"/>
      <w:bookmarkEnd w:id="21"/>
      <w:r>
        <w:t>5.2 Contingent Liabilities</w:t>
      </w:r>
    </w:p>
    <w:tbl>
      <w:tblPr>
        <w:tblStyle w:val="Table"/>
        <w:tblW w:w="5000" w:type="pct"/>
        <w:tblLook w:val="0020" w:firstRow="1" w:lastRow="0" w:firstColumn="0" w:lastColumn="0" w:noHBand="0" w:noVBand="0"/>
      </w:tblPr>
      <w:tblGrid>
        <w:gridCol w:w="3359"/>
        <w:gridCol w:w="2225"/>
        <w:gridCol w:w="2227"/>
        <w:gridCol w:w="1549"/>
      </w:tblGrid>
      <w:tr w:rsidR="007F0800" w14:paraId="7C283A70"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4C687835" w14:textId="77777777" w:rsidR="007F0800" w:rsidRDefault="00AB12A8">
            <w:pPr>
              <w:pStyle w:val="Compact"/>
            </w:pPr>
            <w:r>
              <w:t>Commitment</w:t>
            </w:r>
          </w:p>
        </w:tc>
        <w:tc>
          <w:tcPr>
            <w:tcW w:w="0" w:type="auto"/>
          </w:tcPr>
          <w:p w14:paraId="5ED85CF2" w14:textId="77777777" w:rsidR="007F0800" w:rsidRDefault="00AB12A8">
            <w:pPr>
              <w:pStyle w:val="Compact"/>
              <w:jc w:val="center"/>
            </w:pPr>
            <w:r>
              <w:t>Authorized Amount</w:t>
            </w:r>
          </w:p>
        </w:tc>
        <w:tc>
          <w:tcPr>
            <w:tcW w:w="0" w:type="auto"/>
          </w:tcPr>
          <w:p w14:paraId="2D72ABFF" w14:textId="77777777" w:rsidR="007F0800" w:rsidRDefault="00AB12A8">
            <w:pPr>
              <w:pStyle w:val="Compact"/>
              <w:jc w:val="center"/>
            </w:pPr>
            <w:r>
              <w:t>Utilized (end-1954)</w:t>
            </w:r>
          </w:p>
        </w:tc>
        <w:tc>
          <w:tcPr>
            <w:tcW w:w="0" w:type="auto"/>
          </w:tcPr>
          <w:p w14:paraId="233D27AF" w14:textId="77777777" w:rsidR="007F0800" w:rsidRDefault="00AB12A8">
            <w:pPr>
              <w:pStyle w:val="Compact"/>
              <w:jc w:val="center"/>
            </w:pPr>
            <w:r>
              <w:t>Undisbursed</w:t>
            </w:r>
          </w:p>
        </w:tc>
      </w:tr>
      <w:tr w:rsidR="007F0800" w14:paraId="38A00B60" w14:textId="77777777">
        <w:tc>
          <w:tcPr>
            <w:tcW w:w="0" w:type="auto"/>
          </w:tcPr>
          <w:p w14:paraId="2E56E109" w14:textId="77777777" w:rsidR="007F0800" w:rsidRPr="001C1233" w:rsidRDefault="00AB12A8">
            <w:pPr>
              <w:pStyle w:val="Compact"/>
              <w:rPr>
                <w:lang w:val="es-SV"/>
              </w:rPr>
            </w:pPr>
            <w:r w:rsidRPr="001C1233">
              <w:rPr>
                <w:lang w:val="es-SV"/>
              </w:rPr>
              <w:t>Valle de La Esperanza bonds</w:t>
            </w:r>
          </w:p>
        </w:tc>
        <w:tc>
          <w:tcPr>
            <w:tcW w:w="0" w:type="auto"/>
          </w:tcPr>
          <w:p w14:paraId="5603E3F8" w14:textId="77777777" w:rsidR="007F0800" w:rsidRDefault="00AB12A8">
            <w:pPr>
              <w:pStyle w:val="Compact"/>
              <w:jc w:val="center"/>
            </w:pPr>
            <w:r>
              <w:t>₡</w:t>
            </w:r>
            <w:r>
              <w:t>11,150,000</w:t>
            </w:r>
          </w:p>
        </w:tc>
        <w:tc>
          <w:tcPr>
            <w:tcW w:w="0" w:type="auto"/>
          </w:tcPr>
          <w:p w14:paraId="6E4D88CB" w14:textId="77777777" w:rsidR="007F0800" w:rsidRDefault="00AB12A8">
            <w:pPr>
              <w:pStyle w:val="Compact"/>
              <w:jc w:val="center"/>
            </w:pPr>
            <w:r>
              <w:t>~₡2,126,000</w:t>
            </w:r>
          </w:p>
        </w:tc>
        <w:tc>
          <w:tcPr>
            <w:tcW w:w="0" w:type="auto"/>
          </w:tcPr>
          <w:p w14:paraId="2F85BC92" w14:textId="77777777" w:rsidR="007F0800" w:rsidRDefault="00AB12A8">
            <w:pPr>
              <w:pStyle w:val="Compact"/>
              <w:jc w:val="center"/>
            </w:pPr>
            <w:r>
              <w:t>~₡9,024,000</w:t>
            </w:r>
          </w:p>
        </w:tc>
      </w:tr>
      <w:tr w:rsidR="007F0800" w14:paraId="02BBA796" w14:textId="77777777">
        <w:tc>
          <w:tcPr>
            <w:tcW w:w="0" w:type="auto"/>
          </w:tcPr>
          <w:p w14:paraId="6EE12FA6" w14:textId="77777777" w:rsidR="007F0800" w:rsidRDefault="00AB12A8">
            <w:pPr>
              <w:pStyle w:val="Compact"/>
            </w:pPr>
            <w:r>
              <w:t>Empréstito Aprovisionamiento</w:t>
            </w:r>
          </w:p>
        </w:tc>
        <w:tc>
          <w:tcPr>
            <w:tcW w:w="0" w:type="auto"/>
          </w:tcPr>
          <w:p w14:paraId="4FEDE1F9" w14:textId="77777777" w:rsidR="007F0800" w:rsidRDefault="00AB12A8">
            <w:pPr>
              <w:pStyle w:val="Compact"/>
              <w:jc w:val="center"/>
            </w:pPr>
            <w:r>
              <w:t>₡</w:t>
            </w:r>
            <w:r>
              <w:t>10,000,001</w:t>
            </w:r>
          </w:p>
        </w:tc>
        <w:tc>
          <w:tcPr>
            <w:tcW w:w="0" w:type="auto"/>
          </w:tcPr>
          <w:p w14:paraId="7402F23C" w14:textId="77777777" w:rsidR="007F0800" w:rsidRDefault="00AB12A8">
            <w:pPr>
              <w:pStyle w:val="Compact"/>
              <w:jc w:val="center"/>
            </w:pPr>
            <w:r>
              <w:t>~₡9,868,000</w:t>
            </w:r>
          </w:p>
        </w:tc>
        <w:tc>
          <w:tcPr>
            <w:tcW w:w="0" w:type="auto"/>
          </w:tcPr>
          <w:p w14:paraId="3013CD67" w14:textId="77777777" w:rsidR="007F0800" w:rsidRDefault="00AB12A8">
            <w:pPr>
              <w:pStyle w:val="Compact"/>
              <w:jc w:val="center"/>
            </w:pPr>
            <w:r>
              <w:t>~₡132,000</w:t>
            </w:r>
          </w:p>
        </w:tc>
      </w:tr>
      <w:tr w:rsidR="007F0800" w14:paraId="22F215B8" w14:textId="77777777">
        <w:tc>
          <w:tcPr>
            <w:tcW w:w="0" w:type="auto"/>
          </w:tcPr>
          <w:p w14:paraId="7418DDB0" w14:textId="77777777" w:rsidR="007F0800" w:rsidRDefault="00AB12A8">
            <w:pPr>
              <w:pStyle w:val="Compact"/>
            </w:pPr>
            <w:r>
              <w:t>Camino Interamericano</w:t>
            </w:r>
          </w:p>
        </w:tc>
        <w:tc>
          <w:tcPr>
            <w:tcW w:w="0" w:type="auto"/>
          </w:tcPr>
          <w:p w14:paraId="78FD8B9E" w14:textId="77777777" w:rsidR="007F0800" w:rsidRDefault="00AB12A8">
            <w:pPr>
              <w:pStyle w:val="Compact"/>
              <w:jc w:val="center"/>
            </w:pPr>
            <w:r>
              <w:t>₡</w:t>
            </w:r>
            <w:r>
              <w:t>1,173,195</w:t>
            </w:r>
          </w:p>
        </w:tc>
        <w:tc>
          <w:tcPr>
            <w:tcW w:w="0" w:type="auto"/>
          </w:tcPr>
          <w:p w14:paraId="31E225B5" w14:textId="77777777" w:rsidR="007F0800" w:rsidRDefault="00AB12A8">
            <w:pPr>
              <w:pStyle w:val="Compact"/>
              <w:jc w:val="center"/>
            </w:pPr>
            <w:r>
              <w:t>~₡927,000</w:t>
            </w:r>
          </w:p>
        </w:tc>
        <w:tc>
          <w:tcPr>
            <w:tcW w:w="0" w:type="auto"/>
          </w:tcPr>
          <w:p w14:paraId="4BCD6D97" w14:textId="77777777" w:rsidR="007F0800" w:rsidRDefault="00AB12A8">
            <w:pPr>
              <w:pStyle w:val="Compact"/>
              <w:jc w:val="center"/>
            </w:pPr>
            <w:r>
              <w:t>~₡246,000</w:t>
            </w:r>
          </w:p>
        </w:tc>
      </w:tr>
      <w:tr w:rsidR="007F0800" w14:paraId="35B3F745" w14:textId="77777777">
        <w:tc>
          <w:tcPr>
            <w:tcW w:w="0" w:type="auto"/>
          </w:tcPr>
          <w:p w14:paraId="3C3801D8" w14:textId="77777777" w:rsidR="007F0800" w:rsidRDefault="00AB12A8">
            <w:pPr>
              <w:pStyle w:val="Compact"/>
            </w:pPr>
            <w:r>
              <w:t>Carretera del Litoral (IBRD)</w:t>
            </w:r>
          </w:p>
        </w:tc>
        <w:tc>
          <w:tcPr>
            <w:tcW w:w="0" w:type="auto"/>
          </w:tcPr>
          <w:p w14:paraId="4BAB98AE" w14:textId="77777777" w:rsidR="007F0800" w:rsidRDefault="00AB12A8">
            <w:pPr>
              <w:pStyle w:val="Compact"/>
              <w:jc w:val="center"/>
            </w:pPr>
            <w:r>
              <w:t>not yet authorized</w:t>
            </w:r>
          </w:p>
        </w:tc>
        <w:tc>
          <w:tcPr>
            <w:tcW w:w="0" w:type="auto"/>
          </w:tcPr>
          <w:p w14:paraId="110D238E" w14:textId="77777777" w:rsidR="007F0800" w:rsidRDefault="00AB12A8">
            <w:pPr>
              <w:pStyle w:val="Compact"/>
              <w:jc w:val="center"/>
            </w:pPr>
            <w:r>
              <w:t>—</w:t>
            </w:r>
          </w:p>
        </w:tc>
        <w:tc>
          <w:tcPr>
            <w:tcW w:w="0" w:type="auto"/>
          </w:tcPr>
          <w:p w14:paraId="4019B7FB" w14:textId="77777777" w:rsidR="007F0800" w:rsidRDefault="00AB12A8">
            <w:pPr>
              <w:pStyle w:val="Compact"/>
              <w:jc w:val="center"/>
            </w:pPr>
            <w:r>
              <w:t>—</w:t>
            </w:r>
          </w:p>
        </w:tc>
      </w:tr>
    </w:tbl>
    <w:p w14:paraId="5421D8CC" w14:textId="77777777" w:rsidR="007F0800" w:rsidRDefault="00AB12A8">
      <w:pPr>
        <w:pStyle w:val="BodyText"/>
      </w:pPr>
      <w:r>
        <w:t>The Valle de La Esperanza authorization of ₡11.15 million remained largely undisbursed, representing a contingent liability equal to approximately 37% of the existing debt stock. The Carretera del Litoral — which would be authorized at ₡55.7 million in 1955 — was not yet in the pipeline but was being planned, representing the largest future fiscal commitment of the administration.</w:t>
      </w:r>
    </w:p>
    <w:p w14:paraId="3186F5EF" w14:textId="77777777" w:rsidR="007F0800" w:rsidRDefault="00AB12A8">
      <w:r>
        <w:pict w14:anchorId="7FD8F9A3">
          <v:rect id="_x0000_i1031" style="width:0;height:1.5pt" o:hralign="center" o:hrstd="t" o:hr="t"/>
        </w:pict>
      </w:r>
    </w:p>
    <w:p w14:paraId="219593EA" w14:textId="77777777" w:rsidR="007F0800" w:rsidRDefault="00AB12A8">
      <w:pPr>
        <w:pStyle w:val="Heading2"/>
      </w:pPr>
      <w:bookmarkStart w:id="23" w:name="vulnerability-matrix"/>
      <w:bookmarkEnd w:id="20"/>
      <w:bookmarkEnd w:id="22"/>
      <w:r>
        <w:t>6. Vulnerability Matrix</w:t>
      </w:r>
    </w:p>
    <w:tbl>
      <w:tblPr>
        <w:tblStyle w:val="Table"/>
        <w:tblW w:w="5000" w:type="pct"/>
        <w:tblLook w:val="0020" w:firstRow="1" w:lastRow="0" w:firstColumn="0" w:lastColumn="0" w:noHBand="0" w:noVBand="0"/>
      </w:tblPr>
      <w:tblGrid>
        <w:gridCol w:w="1957"/>
        <w:gridCol w:w="1445"/>
        <w:gridCol w:w="1643"/>
        <w:gridCol w:w="2003"/>
        <w:gridCol w:w="2312"/>
      </w:tblGrid>
      <w:tr w:rsidR="007F0800" w14:paraId="7E321620"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0258336E" w14:textId="77777777" w:rsidR="007F0800" w:rsidRDefault="00AB12A8">
            <w:pPr>
              <w:pStyle w:val="Compact"/>
            </w:pPr>
            <w:r>
              <w:t>Risk Factor</w:t>
            </w:r>
          </w:p>
        </w:tc>
        <w:tc>
          <w:tcPr>
            <w:tcW w:w="0" w:type="auto"/>
          </w:tcPr>
          <w:p w14:paraId="0CB9B803" w14:textId="77777777" w:rsidR="007F0800" w:rsidRDefault="00AB12A8">
            <w:pPr>
              <w:pStyle w:val="Compact"/>
              <w:jc w:val="center"/>
            </w:pPr>
            <w:r>
              <w:t>Severity</w:t>
            </w:r>
          </w:p>
        </w:tc>
        <w:tc>
          <w:tcPr>
            <w:tcW w:w="0" w:type="auto"/>
          </w:tcPr>
          <w:p w14:paraId="4BD515A5" w14:textId="77777777" w:rsidR="007F0800" w:rsidRDefault="00AB12A8">
            <w:pPr>
              <w:pStyle w:val="Compact"/>
              <w:jc w:val="center"/>
            </w:pPr>
            <w:r>
              <w:t>Probability</w:t>
            </w:r>
          </w:p>
        </w:tc>
        <w:tc>
          <w:tcPr>
            <w:tcW w:w="0" w:type="auto"/>
          </w:tcPr>
          <w:p w14:paraId="48AC4182" w14:textId="77777777" w:rsidR="007F0800" w:rsidRDefault="00AB12A8">
            <w:pPr>
              <w:pStyle w:val="Compact"/>
              <w:jc w:val="center"/>
            </w:pPr>
            <w:r>
              <w:t>Trend (vs. 1952–53)</w:t>
            </w:r>
          </w:p>
        </w:tc>
        <w:tc>
          <w:tcPr>
            <w:tcW w:w="0" w:type="auto"/>
          </w:tcPr>
          <w:p w14:paraId="1359FC55" w14:textId="77777777" w:rsidR="007F0800" w:rsidRDefault="00AB12A8">
            <w:pPr>
              <w:pStyle w:val="Compact"/>
            </w:pPr>
            <w:r>
              <w:t>Mitigation</w:t>
            </w:r>
          </w:p>
        </w:tc>
      </w:tr>
      <w:tr w:rsidR="007F0800" w14:paraId="2C298101" w14:textId="77777777">
        <w:tc>
          <w:tcPr>
            <w:tcW w:w="0" w:type="auto"/>
          </w:tcPr>
          <w:p w14:paraId="6287D43E" w14:textId="77777777" w:rsidR="007F0800" w:rsidRDefault="00AB12A8">
            <w:pPr>
              <w:pStyle w:val="Compact"/>
            </w:pPr>
            <w:r>
              <w:t>Coffee price shock</w:t>
            </w:r>
          </w:p>
        </w:tc>
        <w:tc>
          <w:tcPr>
            <w:tcW w:w="0" w:type="auto"/>
          </w:tcPr>
          <w:p w14:paraId="0FE629DD" w14:textId="77777777" w:rsidR="007F0800" w:rsidRDefault="00AB12A8">
            <w:pPr>
              <w:pStyle w:val="Compact"/>
              <w:jc w:val="center"/>
            </w:pPr>
            <w:r>
              <w:t>HIGH</w:t>
            </w:r>
          </w:p>
        </w:tc>
        <w:tc>
          <w:tcPr>
            <w:tcW w:w="0" w:type="auto"/>
          </w:tcPr>
          <w:p w14:paraId="0BE0C6E0" w14:textId="77777777" w:rsidR="007F0800" w:rsidRDefault="00AB12A8">
            <w:pPr>
              <w:pStyle w:val="Compact"/>
              <w:jc w:val="center"/>
            </w:pPr>
            <w:r>
              <w:t>MODERATE</w:t>
            </w:r>
          </w:p>
        </w:tc>
        <w:tc>
          <w:tcPr>
            <w:tcW w:w="0" w:type="auto"/>
          </w:tcPr>
          <w:p w14:paraId="493A2CB5" w14:textId="77777777" w:rsidR="007F0800" w:rsidRDefault="00AB12A8">
            <w:pPr>
              <w:pStyle w:val="Compact"/>
              <w:jc w:val="center"/>
            </w:pPr>
            <w:r>
              <w:t>→ cyclical (boom masking risk)</w:t>
            </w:r>
          </w:p>
        </w:tc>
        <w:tc>
          <w:tcPr>
            <w:tcW w:w="0" w:type="auto"/>
          </w:tcPr>
          <w:p w14:paraId="57D1F179" w14:textId="77777777" w:rsidR="007F0800" w:rsidRDefault="00AB12A8">
            <w:pPr>
              <w:pStyle w:val="Compact"/>
            </w:pPr>
            <w:r>
              <w:t>None; no stabilization fund</w:t>
            </w:r>
          </w:p>
        </w:tc>
      </w:tr>
      <w:tr w:rsidR="007F0800" w14:paraId="5C95141A" w14:textId="77777777">
        <w:tc>
          <w:tcPr>
            <w:tcW w:w="0" w:type="auto"/>
          </w:tcPr>
          <w:p w14:paraId="4F46D93B" w14:textId="77777777" w:rsidR="007F0800" w:rsidRDefault="00AB12A8">
            <w:pPr>
              <w:pStyle w:val="Compact"/>
            </w:pPr>
            <w:r>
              <w:t>Revenue concentration</w:t>
            </w:r>
          </w:p>
        </w:tc>
        <w:tc>
          <w:tcPr>
            <w:tcW w:w="0" w:type="auto"/>
          </w:tcPr>
          <w:p w14:paraId="6C088C6A" w14:textId="77777777" w:rsidR="007F0800" w:rsidRDefault="00AB12A8">
            <w:pPr>
              <w:pStyle w:val="Compact"/>
              <w:jc w:val="center"/>
            </w:pPr>
            <w:r>
              <w:t>HIGH</w:t>
            </w:r>
          </w:p>
        </w:tc>
        <w:tc>
          <w:tcPr>
            <w:tcW w:w="0" w:type="auto"/>
          </w:tcPr>
          <w:p w14:paraId="1EFFB280" w14:textId="77777777" w:rsidR="007F0800" w:rsidRDefault="00AB12A8">
            <w:pPr>
              <w:pStyle w:val="Compact"/>
              <w:jc w:val="center"/>
            </w:pPr>
            <w:r>
              <w:t>STRUCTURAL</w:t>
            </w:r>
          </w:p>
        </w:tc>
        <w:tc>
          <w:tcPr>
            <w:tcW w:w="0" w:type="auto"/>
          </w:tcPr>
          <w:p w14:paraId="526F92DE" w14:textId="77777777" w:rsidR="007F0800" w:rsidRDefault="00AB12A8">
            <w:pPr>
              <w:pStyle w:val="Compact"/>
              <w:jc w:val="center"/>
            </w:pPr>
            <w:r>
              <w:t>↑ worsening (75% trade-dependent)</w:t>
            </w:r>
          </w:p>
        </w:tc>
        <w:tc>
          <w:tcPr>
            <w:tcW w:w="0" w:type="auto"/>
          </w:tcPr>
          <w:p w14:paraId="1D623B99" w14:textId="77777777" w:rsidR="007F0800" w:rsidRDefault="00AB12A8">
            <w:pPr>
              <w:pStyle w:val="Compact"/>
            </w:pPr>
            <w:r>
              <w:t>Income tax stagnant at 6.4%</w:t>
            </w:r>
          </w:p>
        </w:tc>
      </w:tr>
      <w:tr w:rsidR="007F0800" w14:paraId="1599520E" w14:textId="77777777">
        <w:tc>
          <w:tcPr>
            <w:tcW w:w="0" w:type="auto"/>
          </w:tcPr>
          <w:p w14:paraId="5E311A23" w14:textId="77777777" w:rsidR="007F0800" w:rsidRDefault="00AB12A8">
            <w:pPr>
              <w:pStyle w:val="Compact"/>
            </w:pPr>
            <w:r>
              <w:t>Wage bill rigidity</w:t>
            </w:r>
          </w:p>
        </w:tc>
        <w:tc>
          <w:tcPr>
            <w:tcW w:w="0" w:type="auto"/>
          </w:tcPr>
          <w:p w14:paraId="1CC491C0" w14:textId="77777777" w:rsidR="007F0800" w:rsidRDefault="00AB12A8">
            <w:pPr>
              <w:pStyle w:val="Compact"/>
              <w:jc w:val="center"/>
            </w:pPr>
            <w:r>
              <w:t>MODERATE</w:t>
            </w:r>
          </w:p>
        </w:tc>
        <w:tc>
          <w:tcPr>
            <w:tcW w:w="0" w:type="auto"/>
          </w:tcPr>
          <w:p w14:paraId="3C182ED8" w14:textId="77777777" w:rsidR="007F0800" w:rsidRDefault="00AB12A8">
            <w:pPr>
              <w:pStyle w:val="Compact"/>
              <w:jc w:val="center"/>
            </w:pPr>
            <w:r>
              <w:t>HIGH</w:t>
            </w:r>
          </w:p>
        </w:tc>
        <w:tc>
          <w:tcPr>
            <w:tcW w:w="0" w:type="auto"/>
          </w:tcPr>
          <w:p w14:paraId="06C9E1E0" w14:textId="77777777" w:rsidR="007F0800" w:rsidRDefault="00AB12A8">
            <w:pPr>
              <w:pStyle w:val="Compact"/>
              <w:jc w:val="center"/>
            </w:pPr>
            <w:r>
              <w:t>→ stable near threshold (49.1%)</w:t>
            </w:r>
          </w:p>
        </w:tc>
        <w:tc>
          <w:tcPr>
            <w:tcW w:w="0" w:type="auto"/>
          </w:tcPr>
          <w:p w14:paraId="09EAF3D8" w14:textId="77777777" w:rsidR="007F0800" w:rsidRDefault="00AB12A8">
            <w:pPr>
              <w:pStyle w:val="Compact"/>
            </w:pPr>
            <w:r>
              <w:t>Boom-year investment spending reducing apparent rigidity</w:t>
            </w:r>
          </w:p>
        </w:tc>
      </w:tr>
      <w:tr w:rsidR="007F0800" w14:paraId="325649AB" w14:textId="77777777">
        <w:tc>
          <w:tcPr>
            <w:tcW w:w="0" w:type="auto"/>
          </w:tcPr>
          <w:p w14:paraId="35ED997C" w14:textId="77777777" w:rsidR="007F0800" w:rsidRDefault="00AB12A8">
            <w:pPr>
              <w:pStyle w:val="Compact"/>
            </w:pPr>
            <w:r>
              <w:t>Off-budget commitments</w:t>
            </w:r>
          </w:p>
        </w:tc>
        <w:tc>
          <w:tcPr>
            <w:tcW w:w="0" w:type="auto"/>
          </w:tcPr>
          <w:p w14:paraId="7725FEF0" w14:textId="77777777" w:rsidR="007F0800" w:rsidRDefault="00AB12A8">
            <w:pPr>
              <w:pStyle w:val="Compact"/>
              <w:jc w:val="center"/>
            </w:pPr>
            <w:r>
              <w:t>MODERATE</w:t>
            </w:r>
          </w:p>
        </w:tc>
        <w:tc>
          <w:tcPr>
            <w:tcW w:w="0" w:type="auto"/>
          </w:tcPr>
          <w:p w14:paraId="07B235AD" w14:textId="77777777" w:rsidR="007F0800" w:rsidRDefault="00AB12A8">
            <w:pPr>
              <w:pStyle w:val="Compact"/>
              <w:jc w:val="center"/>
            </w:pPr>
            <w:r>
              <w:t>HIGH</w:t>
            </w:r>
          </w:p>
        </w:tc>
        <w:tc>
          <w:tcPr>
            <w:tcW w:w="0" w:type="auto"/>
          </w:tcPr>
          <w:p w14:paraId="5AC1E452" w14:textId="77777777" w:rsidR="007F0800" w:rsidRPr="001C1233" w:rsidRDefault="00AB12A8">
            <w:pPr>
              <w:pStyle w:val="Compact"/>
              <w:jc w:val="center"/>
              <w:rPr>
                <w:lang w:val="es-SV"/>
              </w:rPr>
            </w:pPr>
            <w:r w:rsidRPr="001C1233">
              <w:rPr>
                <w:lang w:val="es-SV"/>
              </w:rPr>
              <w:t>↑ rising (Valle de La Esperanza + pipeline)</w:t>
            </w:r>
          </w:p>
        </w:tc>
        <w:tc>
          <w:tcPr>
            <w:tcW w:w="0" w:type="auto"/>
          </w:tcPr>
          <w:p w14:paraId="5B60F9A6" w14:textId="77777777" w:rsidR="007F0800" w:rsidRDefault="00AB12A8">
            <w:pPr>
              <w:pStyle w:val="Compact"/>
            </w:pPr>
            <w:r>
              <w:t>Authorized but largely undisbursed</w:t>
            </w:r>
          </w:p>
        </w:tc>
      </w:tr>
      <w:tr w:rsidR="007F0800" w14:paraId="49766989" w14:textId="77777777">
        <w:tc>
          <w:tcPr>
            <w:tcW w:w="0" w:type="auto"/>
          </w:tcPr>
          <w:p w14:paraId="33550255" w14:textId="77777777" w:rsidR="007F0800" w:rsidRDefault="00AB12A8">
            <w:pPr>
              <w:pStyle w:val="Compact"/>
            </w:pPr>
            <w:r>
              <w:t>Debt sustainability</w:t>
            </w:r>
          </w:p>
        </w:tc>
        <w:tc>
          <w:tcPr>
            <w:tcW w:w="0" w:type="auto"/>
          </w:tcPr>
          <w:p w14:paraId="5F474F38" w14:textId="77777777" w:rsidR="007F0800" w:rsidRDefault="00AB12A8">
            <w:pPr>
              <w:pStyle w:val="Compact"/>
              <w:jc w:val="center"/>
            </w:pPr>
            <w:r>
              <w:t>LOW</w:t>
            </w:r>
          </w:p>
        </w:tc>
        <w:tc>
          <w:tcPr>
            <w:tcW w:w="0" w:type="auto"/>
          </w:tcPr>
          <w:p w14:paraId="4DB6F71A" w14:textId="77777777" w:rsidR="007F0800" w:rsidRDefault="00AB12A8">
            <w:pPr>
              <w:pStyle w:val="Compact"/>
              <w:jc w:val="center"/>
            </w:pPr>
            <w:r>
              <w:t>LOW</w:t>
            </w:r>
          </w:p>
        </w:tc>
        <w:tc>
          <w:tcPr>
            <w:tcW w:w="0" w:type="auto"/>
          </w:tcPr>
          <w:p w14:paraId="7F327F87" w14:textId="77777777" w:rsidR="007F0800" w:rsidRDefault="00AB12A8">
            <w:pPr>
              <w:pStyle w:val="Compact"/>
              <w:jc w:val="center"/>
            </w:pPr>
            <w:r>
              <w:t>↓ improving to historic lows</w:t>
            </w:r>
          </w:p>
        </w:tc>
        <w:tc>
          <w:tcPr>
            <w:tcW w:w="0" w:type="auto"/>
          </w:tcPr>
          <w:p w14:paraId="4F534B23" w14:textId="77777777" w:rsidR="007F0800" w:rsidRDefault="00AB12A8">
            <w:pPr>
              <w:pStyle w:val="Compact"/>
            </w:pPr>
            <w:r>
              <w:t>Maximum fiscal space</w:t>
            </w:r>
          </w:p>
        </w:tc>
      </w:tr>
      <w:tr w:rsidR="007F0800" w14:paraId="07BF1A56" w14:textId="77777777">
        <w:tc>
          <w:tcPr>
            <w:tcW w:w="0" w:type="auto"/>
          </w:tcPr>
          <w:p w14:paraId="5EBB9538" w14:textId="77777777" w:rsidR="007F0800" w:rsidRDefault="00AB12A8">
            <w:pPr>
              <w:pStyle w:val="Compact"/>
            </w:pPr>
            <w:r>
              <w:t>Asymmetric adjustment risk</w:t>
            </w:r>
          </w:p>
        </w:tc>
        <w:tc>
          <w:tcPr>
            <w:tcW w:w="0" w:type="auto"/>
          </w:tcPr>
          <w:p w14:paraId="5D586720" w14:textId="77777777" w:rsidR="007F0800" w:rsidRDefault="00AB12A8">
            <w:pPr>
              <w:pStyle w:val="Compact"/>
              <w:jc w:val="center"/>
            </w:pPr>
            <w:r>
              <w:t>MODERATE</w:t>
            </w:r>
          </w:p>
        </w:tc>
        <w:tc>
          <w:tcPr>
            <w:tcW w:w="0" w:type="auto"/>
          </w:tcPr>
          <w:p w14:paraId="2379120A" w14:textId="77777777" w:rsidR="007F0800" w:rsidRDefault="00AB12A8">
            <w:pPr>
              <w:pStyle w:val="Compact"/>
              <w:jc w:val="center"/>
            </w:pPr>
            <w:r>
              <w:t>MODERATE</w:t>
            </w:r>
          </w:p>
        </w:tc>
        <w:tc>
          <w:tcPr>
            <w:tcW w:w="0" w:type="auto"/>
          </w:tcPr>
          <w:p w14:paraId="76B5D42F" w14:textId="77777777" w:rsidR="007F0800" w:rsidRDefault="00AB12A8">
            <w:pPr>
              <w:pStyle w:val="Compact"/>
              <w:jc w:val="center"/>
            </w:pPr>
            <w:r>
              <w:t>→ latent (not yet tested)</w:t>
            </w:r>
          </w:p>
        </w:tc>
        <w:tc>
          <w:tcPr>
            <w:tcW w:w="0" w:type="auto"/>
          </w:tcPr>
          <w:p w14:paraId="389A0503" w14:textId="77777777" w:rsidR="007F0800" w:rsidRDefault="00AB12A8">
            <w:pPr>
              <w:pStyle w:val="Compact"/>
            </w:pPr>
            <w:r>
              <w:t>Not addressed; baseline now measured</w:t>
            </w:r>
          </w:p>
        </w:tc>
      </w:tr>
      <w:tr w:rsidR="007F0800" w14:paraId="56905893" w14:textId="77777777">
        <w:tc>
          <w:tcPr>
            <w:tcW w:w="0" w:type="auto"/>
          </w:tcPr>
          <w:p w14:paraId="49620B57" w14:textId="77777777" w:rsidR="007F0800" w:rsidRDefault="00AB12A8">
            <w:pPr>
              <w:pStyle w:val="Compact"/>
            </w:pPr>
            <w:r>
              <w:t>Exchange rate risk</w:t>
            </w:r>
          </w:p>
        </w:tc>
        <w:tc>
          <w:tcPr>
            <w:tcW w:w="0" w:type="auto"/>
          </w:tcPr>
          <w:p w14:paraId="5159E7FD" w14:textId="77777777" w:rsidR="007F0800" w:rsidRDefault="00AB12A8">
            <w:pPr>
              <w:pStyle w:val="Compact"/>
              <w:jc w:val="center"/>
            </w:pPr>
            <w:r>
              <w:t>LOW</w:t>
            </w:r>
          </w:p>
        </w:tc>
        <w:tc>
          <w:tcPr>
            <w:tcW w:w="0" w:type="auto"/>
          </w:tcPr>
          <w:p w14:paraId="0125B785" w14:textId="77777777" w:rsidR="007F0800" w:rsidRDefault="00AB12A8">
            <w:pPr>
              <w:pStyle w:val="Compact"/>
              <w:jc w:val="center"/>
            </w:pPr>
            <w:r>
              <w:t>LOW</w:t>
            </w:r>
          </w:p>
        </w:tc>
        <w:tc>
          <w:tcPr>
            <w:tcW w:w="0" w:type="auto"/>
          </w:tcPr>
          <w:p w14:paraId="1EFE1E4B" w14:textId="77777777" w:rsidR="007F0800" w:rsidRDefault="00AB12A8">
            <w:pPr>
              <w:pStyle w:val="Compact"/>
              <w:jc w:val="center"/>
            </w:pPr>
            <w:r>
              <w:t>→ stable (₡2.50/US$)</w:t>
            </w:r>
          </w:p>
        </w:tc>
        <w:tc>
          <w:tcPr>
            <w:tcW w:w="0" w:type="auto"/>
          </w:tcPr>
          <w:p w14:paraId="15DCE6D6" w14:textId="77777777" w:rsidR="007F0800" w:rsidRDefault="00AB12A8">
            <w:pPr>
              <w:pStyle w:val="Compact"/>
            </w:pPr>
            <w:r>
              <w:t>Fixed parity</w:t>
            </w:r>
          </w:p>
        </w:tc>
      </w:tr>
      <w:tr w:rsidR="007F0800" w14:paraId="1C9BE813" w14:textId="77777777">
        <w:tc>
          <w:tcPr>
            <w:tcW w:w="0" w:type="auto"/>
          </w:tcPr>
          <w:p w14:paraId="7AA2E3C4" w14:textId="77777777" w:rsidR="007F0800" w:rsidRDefault="00AB12A8">
            <w:pPr>
              <w:pStyle w:val="Compact"/>
            </w:pPr>
            <w:r>
              <w:t>Liquidity/cash management</w:t>
            </w:r>
          </w:p>
        </w:tc>
        <w:tc>
          <w:tcPr>
            <w:tcW w:w="0" w:type="auto"/>
          </w:tcPr>
          <w:p w14:paraId="5608CEFD" w14:textId="77777777" w:rsidR="007F0800" w:rsidRDefault="00AB12A8">
            <w:pPr>
              <w:pStyle w:val="Compact"/>
              <w:jc w:val="center"/>
            </w:pPr>
            <w:r>
              <w:t>LOW</w:t>
            </w:r>
          </w:p>
        </w:tc>
        <w:tc>
          <w:tcPr>
            <w:tcW w:w="0" w:type="auto"/>
          </w:tcPr>
          <w:p w14:paraId="2AF99242" w14:textId="77777777" w:rsidR="007F0800" w:rsidRDefault="00AB12A8">
            <w:pPr>
              <w:pStyle w:val="Compact"/>
              <w:jc w:val="center"/>
            </w:pPr>
            <w:r>
              <w:t>LOW</w:t>
            </w:r>
          </w:p>
        </w:tc>
        <w:tc>
          <w:tcPr>
            <w:tcW w:w="0" w:type="auto"/>
          </w:tcPr>
          <w:p w14:paraId="436CB95B" w14:textId="77777777" w:rsidR="007F0800" w:rsidRDefault="00AB12A8">
            <w:pPr>
              <w:pStyle w:val="Compact"/>
              <w:jc w:val="center"/>
            </w:pPr>
            <w:r>
              <w:t>↓ improving (Superávit ₡20M)</w:t>
            </w:r>
          </w:p>
        </w:tc>
        <w:tc>
          <w:tcPr>
            <w:tcW w:w="0" w:type="auto"/>
          </w:tcPr>
          <w:p w14:paraId="3D0FA78F" w14:textId="77777777" w:rsidR="007F0800" w:rsidRDefault="00AB12A8">
            <w:pPr>
              <w:pStyle w:val="Compact"/>
            </w:pPr>
            <w:r>
              <w:t>Strong cash position</w:t>
            </w:r>
          </w:p>
        </w:tc>
      </w:tr>
    </w:tbl>
    <w:p w14:paraId="2422F38D" w14:textId="77777777" w:rsidR="007F0800" w:rsidRDefault="00AB12A8">
      <w:r>
        <w:pict w14:anchorId="41EDE304">
          <v:rect id="_x0000_i1032" style="width:0;height:1.5pt" o:hralign="center" o:hrstd="t" o:hr="t"/>
        </w:pict>
      </w:r>
    </w:p>
    <w:p w14:paraId="6BE6291C" w14:textId="77777777" w:rsidR="007F0800" w:rsidRDefault="00AB12A8">
      <w:pPr>
        <w:pStyle w:val="Heading2"/>
      </w:pPr>
      <w:bookmarkStart w:id="24" w:name="key-indicators-dashboard"/>
      <w:bookmarkEnd w:id="23"/>
      <w:r>
        <w:t>7. Key Indicators Dashboard</w:t>
      </w:r>
    </w:p>
    <w:p w14:paraId="77C3FC8C" w14:textId="77777777" w:rsidR="007F0800" w:rsidRDefault="00AB12A8">
      <w:pPr>
        <w:pStyle w:val="Heading3"/>
      </w:pPr>
      <w:bookmarkStart w:id="25" w:name="X40522efa5e5872f45f1850a4d595027be33ca02"/>
      <w:r>
        <w:t>Summary Table — Fiscal Health Indicators, 1954</w:t>
      </w:r>
    </w:p>
    <w:tbl>
      <w:tblPr>
        <w:tblStyle w:val="Table"/>
        <w:tblW w:w="5000" w:type="pct"/>
        <w:tblLook w:val="0020" w:firstRow="1" w:lastRow="0" w:firstColumn="0" w:lastColumn="0" w:noHBand="0" w:noVBand="0"/>
      </w:tblPr>
      <w:tblGrid>
        <w:gridCol w:w="3916"/>
        <w:gridCol w:w="1221"/>
        <w:gridCol w:w="1221"/>
        <w:gridCol w:w="1531"/>
        <w:gridCol w:w="1471"/>
      </w:tblGrid>
      <w:tr w:rsidR="007F0800" w14:paraId="05DC937A"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34BC7DEC" w14:textId="77777777" w:rsidR="007F0800" w:rsidRDefault="00AB12A8">
            <w:pPr>
              <w:pStyle w:val="Compact"/>
            </w:pPr>
            <w:r>
              <w:t>Indicator</w:t>
            </w:r>
          </w:p>
        </w:tc>
        <w:tc>
          <w:tcPr>
            <w:tcW w:w="0" w:type="auto"/>
          </w:tcPr>
          <w:p w14:paraId="3E379256" w14:textId="77777777" w:rsidR="007F0800" w:rsidRDefault="00AB12A8">
            <w:pPr>
              <w:pStyle w:val="Compact"/>
              <w:jc w:val="center"/>
            </w:pPr>
            <w:r>
              <w:t>1952</w:t>
            </w:r>
          </w:p>
        </w:tc>
        <w:tc>
          <w:tcPr>
            <w:tcW w:w="0" w:type="auto"/>
          </w:tcPr>
          <w:p w14:paraId="74F5D1A5" w14:textId="77777777" w:rsidR="007F0800" w:rsidRDefault="00AB12A8">
            <w:pPr>
              <w:pStyle w:val="Compact"/>
              <w:jc w:val="center"/>
            </w:pPr>
            <w:r>
              <w:t>1953</w:t>
            </w:r>
          </w:p>
        </w:tc>
        <w:tc>
          <w:tcPr>
            <w:tcW w:w="0" w:type="auto"/>
          </w:tcPr>
          <w:p w14:paraId="15789012" w14:textId="77777777" w:rsidR="007F0800" w:rsidRDefault="00AB12A8">
            <w:pPr>
              <w:pStyle w:val="Compact"/>
              <w:jc w:val="center"/>
            </w:pPr>
            <w:r>
              <w:t>1954</w:t>
            </w:r>
          </w:p>
        </w:tc>
        <w:tc>
          <w:tcPr>
            <w:tcW w:w="0" w:type="auto"/>
          </w:tcPr>
          <w:p w14:paraId="4D3BB005" w14:textId="77777777" w:rsidR="007F0800" w:rsidRDefault="00AB12A8">
            <w:pPr>
              <w:pStyle w:val="Compact"/>
              <w:jc w:val="center"/>
            </w:pPr>
            <w:r>
              <w:t>Traffic Light</w:t>
            </w:r>
          </w:p>
        </w:tc>
      </w:tr>
      <w:tr w:rsidR="007F0800" w14:paraId="4E1B4DE3" w14:textId="77777777">
        <w:tc>
          <w:tcPr>
            <w:tcW w:w="0" w:type="auto"/>
          </w:tcPr>
          <w:p w14:paraId="7A1252C2" w14:textId="77777777" w:rsidR="007F0800" w:rsidRDefault="00AB12A8">
            <w:pPr>
              <w:pStyle w:val="Compact"/>
            </w:pPr>
            <w:r>
              <w:rPr>
                <w:b/>
                <w:bCs/>
              </w:rPr>
              <w:t>REVENUE</w:t>
            </w:r>
          </w:p>
        </w:tc>
        <w:tc>
          <w:tcPr>
            <w:tcW w:w="0" w:type="auto"/>
          </w:tcPr>
          <w:p w14:paraId="2BFDD975" w14:textId="77777777" w:rsidR="007F0800" w:rsidRDefault="007F0800">
            <w:pPr>
              <w:pStyle w:val="Compact"/>
            </w:pPr>
          </w:p>
        </w:tc>
        <w:tc>
          <w:tcPr>
            <w:tcW w:w="0" w:type="auto"/>
          </w:tcPr>
          <w:p w14:paraId="448C3672" w14:textId="77777777" w:rsidR="007F0800" w:rsidRDefault="007F0800">
            <w:pPr>
              <w:pStyle w:val="Compact"/>
            </w:pPr>
          </w:p>
        </w:tc>
        <w:tc>
          <w:tcPr>
            <w:tcW w:w="0" w:type="auto"/>
          </w:tcPr>
          <w:p w14:paraId="52117E31" w14:textId="77777777" w:rsidR="007F0800" w:rsidRDefault="007F0800">
            <w:pPr>
              <w:pStyle w:val="Compact"/>
            </w:pPr>
          </w:p>
        </w:tc>
        <w:tc>
          <w:tcPr>
            <w:tcW w:w="0" w:type="auto"/>
          </w:tcPr>
          <w:p w14:paraId="04230249" w14:textId="77777777" w:rsidR="007F0800" w:rsidRDefault="007F0800">
            <w:pPr>
              <w:pStyle w:val="Compact"/>
            </w:pPr>
          </w:p>
        </w:tc>
      </w:tr>
      <w:tr w:rsidR="007F0800" w14:paraId="33EC0504" w14:textId="77777777">
        <w:tc>
          <w:tcPr>
            <w:tcW w:w="0" w:type="auto"/>
          </w:tcPr>
          <w:p w14:paraId="0887CD1E" w14:textId="77777777" w:rsidR="007F0800" w:rsidRDefault="00AB12A8">
            <w:pPr>
              <w:pStyle w:val="Compact"/>
            </w:pPr>
            <w:r>
              <w:t>Revenue growth (YoY)</w:t>
            </w:r>
          </w:p>
        </w:tc>
        <w:tc>
          <w:tcPr>
            <w:tcW w:w="0" w:type="auto"/>
          </w:tcPr>
          <w:p w14:paraId="5CD4AE98" w14:textId="77777777" w:rsidR="007F0800" w:rsidRDefault="00AB12A8">
            <w:pPr>
              <w:pStyle w:val="Compact"/>
              <w:jc w:val="center"/>
            </w:pPr>
            <w:r>
              <w:t>+8%</w:t>
            </w:r>
          </w:p>
        </w:tc>
        <w:tc>
          <w:tcPr>
            <w:tcW w:w="0" w:type="auto"/>
          </w:tcPr>
          <w:p w14:paraId="663AEDFC" w14:textId="77777777" w:rsidR="007F0800" w:rsidRDefault="00AB12A8">
            <w:pPr>
              <w:pStyle w:val="Compact"/>
              <w:jc w:val="center"/>
            </w:pPr>
            <w:r>
              <w:t>+10%</w:t>
            </w:r>
          </w:p>
        </w:tc>
        <w:tc>
          <w:tcPr>
            <w:tcW w:w="0" w:type="auto"/>
          </w:tcPr>
          <w:p w14:paraId="7DC8C48B" w14:textId="77777777" w:rsidR="007F0800" w:rsidRDefault="00AB12A8">
            <w:pPr>
              <w:pStyle w:val="Compact"/>
              <w:jc w:val="center"/>
            </w:pPr>
            <w:r>
              <w:rPr>
                <w:b/>
                <w:bCs/>
              </w:rPr>
              <w:t>+19%</w:t>
            </w:r>
          </w:p>
        </w:tc>
        <w:tc>
          <w:tcPr>
            <w:tcW w:w="0" w:type="auto"/>
          </w:tcPr>
          <w:p w14:paraId="1A290D32" w14:textId="77777777" w:rsidR="007F0800" w:rsidRDefault="00AB12A8">
            <w:pPr>
              <w:pStyle w:val="Compact"/>
              <w:jc w:val="center"/>
            </w:pPr>
            <w:r>
              <w:t>🟢</w:t>
            </w:r>
            <w:r>
              <w:t xml:space="preserve"> GREEN</w:t>
            </w:r>
          </w:p>
        </w:tc>
      </w:tr>
      <w:tr w:rsidR="007F0800" w14:paraId="5F7856C8" w14:textId="77777777">
        <w:tc>
          <w:tcPr>
            <w:tcW w:w="0" w:type="auto"/>
          </w:tcPr>
          <w:p w14:paraId="008939BB" w14:textId="77777777" w:rsidR="007F0800" w:rsidRDefault="00AB12A8">
            <w:pPr>
              <w:pStyle w:val="Compact"/>
            </w:pPr>
            <w:r>
              <w:t>Trade tax dependence (% of total)</w:t>
            </w:r>
          </w:p>
        </w:tc>
        <w:tc>
          <w:tcPr>
            <w:tcW w:w="0" w:type="auto"/>
          </w:tcPr>
          <w:p w14:paraId="2B787528" w14:textId="77777777" w:rsidR="007F0800" w:rsidRDefault="00AB12A8">
            <w:pPr>
              <w:pStyle w:val="Compact"/>
              <w:jc w:val="center"/>
            </w:pPr>
            <w:r>
              <w:t>~86%</w:t>
            </w:r>
          </w:p>
        </w:tc>
        <w:tc>
          <w:tcPr>
            <w:tcW w:w="0" w:type="auto"/>
          </w:tcPr>
          <w:p w14:paraId="4733382E" w14:textId="77777777" w:rsidR="007F0800" w:rsidRDefault="00AB12A8">
            <w:pPr>
              <w:pStyle w:val="Compact"/>
              <w:jc w:val="center"/>
            </w:pPr>
            <w:r>
              <w:t>~87%</w:t>
            </w:r>
          </w:p>
        </w:tc>
        <w:tc>
          <w:tcPr>
            <w:tcW w:w="0" w:type="auto"/>
          </w:tcPr>
          <w:p w14:paraId="12FF07FB" w14:textId="77777777" w:rsidR="007F0800" w:rsidRDefault="00AB12A8">
            <w:pPr>
              <w:pStyle w:val="Compact"/>
              <w:jc w:val="center"/>
            </w:pPr>
            <w:r>
              <w:rPr>
                <w:b/>
                <w:bCs/>
              </w:rPr>
              <w:t>~92%</w:t>
            </w:r>
          </w:p>
        </w:tc>
        <w:tc>
          <w:tcPr>
            <w:tcW w:w="0" w:type="auto"/>
          </w:tcPr>
          <w:p w14:paraId="5CE1DA16" w14:textId="77777777" w:rsidR="007F0800" w:rsidRDefault="00AB12A8">
            <w:pPr>
              <w:pStyle w:val="Compact"/>
              <w:jc w:val="center"/>
            </w:pPr>
            <w:r>
              <w:t>🔴</w:t>
            </w:r>
            <w:r>
              <w:t xml:space="preserve"> RED</w:t>
            </w:r>
          </w:p>
        </w:tc>
      </w:tr>
      <w:tr w:rsidR="007F0800" w14:paraId="687729E2" w14:textId="77777777">
        <w:tc>
          <w:tcPr>
            <w:tcW w:w="0" w:type="auto"/>
          </w:tcPr>
          <w:p w14:paraId="26A619DD" w14:textId="77777777" w:rsidR="007F0800" w:rsidRDefault="00AB12A8">
            <w:pPr>
              <w:pStyle w:val="Compact"/>
            </w:pPr>
            <w:r>
              <w:t>Direct tax share (income tax / total)</w:t>
            </w:r>
          </w:p>
        </w:tc>
        <w:tc>
          <w:tcPr>
            <w:tcW w:w="0" w:type="auto"/>
          </w:tcPr>
          <w:p w14:paraId="4D3AF9A4" w14:textId="77777777" w:rsidR="007F0800" w:rsidRDefault="00AB12A8">
            <w:pPr>
              <w:pStyle w:val="Compact"/>
              <w:jc w:val="center"/>
            </w:pPr>
            <w:r>
              <w:t>~6%</w:t>
            </w:r>
          </w:p>
        </w:tc>
        <w:tc>
          <w:tcPr>
            <w:tcW w:w="0" w:type="auto"/>
          </w:tcPr>
          <w:p w14:paraId="6A87F7EB" w14:textId="77777777" w:rsidR="007F0800" w:rsidRDefault="00AB12A8">
            <w:pPr>
              <w:pStyle w:val="Compact"/>
              <w:jc w:val="center"/>
            </w:pPr>
            <w:r>
              <w:t>~6%</w:t>
            </w:r>
          </w:p>
        </w:tc>
        <w:tc>
          <w:tcPr>
            <w:tcW w:w="0" w:type="auto"/>
          </w:tcPr>
          <w:p w14:paraId="7D3EEF6C" w14:textId="77777777" w:rsidR="007F0800" w:rsidRDefault="00AB12A8">
            <w:pPr>
              <w:pStyle w:val="Compact"/>
              <w:jc w:val="center"/>
            </w:pPr>
            <w:r>
              <w:rPr>
                <w:b/>
                <w:bCs/>
              </w:rPr>
              <w:t>6.4%</w:t>
            </w:r>
          </w:p>
        </w:tc>
        <w:tc>
          <w:tcPr>
            <w:tcW w:w="0" w:type="auto"/>
          </w:tcPr>
          <w:p w14:paraId="72740881" w14:textId="77777777" w:rsidR="007F0800" w:rsidRDefault="00AB12A8">
            <w:pPr>
              <w:pStyle w:val="Compact"/>
              <w:jc w:val="center"/>
            </w:pPr>
            <w:r>
              <w:t>🔴</w:t>
            </w:r>
            <w:r>
              <w:t xml:space="preserve"> RED</w:t>
            </w:r>
          </w:p>
        </w:tc>
      </w:tr>
      <w:tr w:rsidR="007F0800" w14:paraId="3E036292" w14:textId="77777777">
        <w:tc>
          <w:tcPr>
            <w:tcW w:w="0" w:type="auto"/>
          </w:tcPr>
          <w:p w14:paraId="3E8EA808" w14:textId="77777777" w:rsidR="007F0800" w:rsidRDefault="00AB12A8">
            <w:pPr>
              <w:pStyle w:val="Compact"/>
            </w:pPr>
            <w:r>
              <w:t>Coffee export tax / total revenue</w:t>
            </w:r>
          </w:p>
        </w:tc>
        <w:tc>
          <w:tcPr>
            <w:tcW w:w="0" w:type="auto"/>
          </w:tcPr>
          <w:p w14:paraId="01D10816" w14:textId="77777777" w:rsidR="007F0800" w:rsidRDefault="00AB12A8">
            <w:pPr>
              <w:pStyle w:val="Compact"/>
              <w:jc w:val="center"/>
            </w:pPr>
            <w:r>
              <w:t>—</w:t>
            </w:r>
          </w:p>
        </w:tc>
        <w:tc>
          <w:tcPr>
            <w:tcW w:w="0" w:type="auto"/>
          </w:tcPr>
          <w:p w14:paraId="4B2FEAEA" w14:textId="77777777" w:rsidR="007F0800" w:rsidRDefault="00AB12A8">
            <w:pPr>
              <w:pStyle w:val="Compact"/>
              <w:jc w:val="center"/>
            </w:pPr>
            <w:r>
              <w:t>—</w:t>
            </w:r>
          </w:p>
        </w:tc>
        <w:tc>
          <w:tcPr>
            <w:tcW w:w="0" w:type="auto"/>
          </w:tcPr>
          <w:p w14:paraId="0853F253" w14:textId="77777777" w:rsidR="007F0800" w:rsidRDefault="00AB12A8">
            <w:pPr>
              <w:pStyle w:val="Compact"/>
              <w:jc w:val="center"/>
            </w:pPr>
            <w:r>
              <w:rPr>
                <w:b/>
                <w:bCs/>
              </w:rPr>
              <w:t>27.6%</w:t>
            </w:r>
          </w:p>
        </w:tc>
        <w:tc>
          <w:tcPr>
            <w:tcW w:w="0" w:type="auto"/>
          </w:tcPr>
          <w:p w14:paraId="17840012" w14:textId="77777777" w:rsidR="007F0800" w:rsidRDefault="00AB12A8">
            <w:pPr>
              <w:pStyle w:val="Compact"/>
              <w:jc w:val="center"/>
            </w:pPr>
            <w:r>
              <w:t>🔴</w:t>
            </w:r>
            <w:r>
              <w:t xml:space="preserve"> RED</w:t>
            </w:r>
          </w:p>
        </w:tc>
      </w:tr>
      <w:tr w:rsidR="007F0800" w14:paraId="0F64B789" w14:textId="77777777">
        <w:tc>
          <w:tcPr>
            <w:tcW w:w="0" w:type="auto"/>
          </w:tcPr>
          <w:p w14:paraId="22E93F13" w14:textId="77777777" w:rsidR="007F0800" w:rsidRDefault="00AB12A8">
            <w:pPr>
              <w:pStyle w:val="Compact"/>
            </w:pPr>
            <w:r>
              <w:t>Revenue volatility (6-yr range)</w:t>
            </w:r>
          </w:p>
        </w:tc>
        <w:tc>
          <w:tcPr>
            <w:tcW w:w="0" w:type="auto"/>
          </w:tcPr>
          <w:p w14:paraId="6925930B" w14:textId="77777777" w:rsidR="007F0800" w:rsidRDefault="007F0800">
            <w:pPr>
              <w:pStyle w:val="Compact"/>
            </w:pPr>
          </w:p>
        </w:tc>
        <w:tc>
          <w:tcPr>
            <w:tcW w:w="0" w:type="auto"/>
          </w:tcPr>
          <w:p w14:paraId="6186F059" w14:textId="77777777" w:rsidR="007F0800" w:rsidRDefault="007F0800">
            <w:pPr>
              <w:pStyle w:val="Compact"/>
            </w:pPr>
          </w:p>
        </w:tc>
        <w:tc>
          <w:tcPr>
            <w:tcW w:w="0" w:type="auto"/>
          </w:tcPr>
          <w:p w14:paraId="10BF80FE" w14:textId="77777777" w:rsidR="007F0800" w:rsidRDefault="00AB12A8">
            <w:pPr>
              <w:pStyle w:val="Compact"/>
              <w:jc w:val="center"/>
            </w:pPr>
            <w:r>
              <w:t>+8% to +41%</w:t>
            </w:r>
          </w:p>
        </w:tc>
        <w:tc>
          <w:tcPr>
            <w:tcW w:w="0" w:type="auto"/>
          </w:tcPr>
          <w:p w14:paraId="1DC45104" w14:textId="77777777" w:rsidR="007F0800" w:rsidRDefault="00AB12A8">
            <w:pPr>
              <w:pStyle w:val="Compact"/>
              <w:jc w:val="center"/>
            </w:pPr>
            <w:r>
              <w:t>🟡</w:t>
            </w:r>
            <w:r>
              <w:t xml:space="preserve"> YELLOW</w:t>
            </w:r>
          </w:p>
        </w:tc>
      </w:tr>
      <w:tr w:rsidR="007F0800" w14:paraId="61C88B8B" w14:textId="77777777">
        <w:tc>
          <w:tcPr>
            <w:tcW w:w="0" w:type="auto"/>
          </w:tcPr>
          <w:p w14:paraId="25E1B546" w14:textId="77777777" w:rsidR="007F0800" w:rsidRDefault="00AB12A8">
            <w:pPr>
              <w:pStyle w:val="Compact"/>
            </w:pPr>
            <w:r>
              <w:rPr>
                <w:b/>
                <w:bCs/>
              </w:rPr>
              <w:t>EXPENDITURE</w:t>
            </w:r>
          </w:p>
        </w:tc>
        <w:tc>
          <w:tcPr>
            <w:tcW w:w="0" w:type="auto"/>
          </w:tcPr>
          <w:p w14:paraId="5EF4023D" w14:textId="77777777" w:rsidR="007F0800" w:rsidRDefault="007F0800">
            <w:pPr>
              <w:pStyle w:val="Compact"/>
            </w:pPr>
          </w:p>
        </w:tc>
        <w:tc>
          <w:tcPr>
            <w:tcW w:w="0" w:type="auto"/>
          </w:tcPr>
          <w:p w14:paraId="5206C6C2" w14:textId="77777777" w:rsidR="007F0800" w:rsidRDefault="007F0800">
            <w:pPr>
              <w:pStyle w:val="Compact"/>
            </w:pPr>
          </w:p>
        </w:tc>
        <w:tc>
          <w:tcPr>
            <w:tcW w:w="0" w:type="auto"/>
          </w:tcPr>
          <w:p w14:paraId="6903F031" w14:textId="77777777" w:rsidR="007F0800" w:rsidRDefault="007F0800">
            <w:pPr>
              <w:pStyle w:val="Compact"/>
            </w:pPr>
          </w:p>
        </w:tc>
        <w:tc>
          <w:tcPr>
            <w:tcW w:w="0" w:type="auto"/>
          </w:tcPr>
          <w:p w14:paraId="57228155" w14:textId="77777777" w:rsidR="007F0800" w:rsidRDefault="007F0800">
            <w:pPr>
              <w:pStyle w:val="Compact"/>
            </w:pPr>
          </w:p>
        </w:tc>
      </w:tr>
      <w:tr w:rsidR="007F0800" w14:paraId="38CD6634" w14:textId="77777777">
        <w:tc>
          <w:tcPr>
            <w:tcW w:w="0" w:type="auto"/>
          </w:tcPr>
          <w:p w14:paraId="659E4263" w14:textId="77777777" w:rsidR="007F0800" w:rsidRDefault="00AB12A8">
            <w:pPr>
              <w:pStyle w:val="Compact"/>
            </w:pPr>
            <w:r>
              <w:t>Expenditure growth (YoY)</w:t>
            </w:r>
          </w:p>
        </w:tc>
        <w:tc>
          <w:tcPr>
            <w:tcW w:w="0" w:type="auto"/>
          </w:tcPr>
          <w:p w14:paraId="0365C994" w14:textId="77777777" w:rsidR="007F0800" w:rsidRDefault="00AB12A8">
            <w:pPr>
              <w:pStyle w:val="Compact"/>
              <w:jc w:val="center"/>
            </w:pPr>
            <w:r>
              <w:t>—</w:t>
            </w:r>
          </w:p>
        </w:tc>
        <w:tc>
          <w:tcPr>
            <w:tcW w:w="0" w:type="auto"/>
          </w:tcPr>
          <w:p w14:paraId="72F2DEAC" w14:textId="77777777" w:rsidR="007F0800" w:rsidRDefault="00AB12A8">
            <w:pPr>
              <w:pStyle w:val="Compact"/>
              <w:jc w:val="center"/>
            </w:pPr>
            <w:r>
              <w:t>+10.7%</w:t>
            </w:r>
          </w:p>
        </w:tc>
        <w:tc>
          <w:tcPr>
            <w:tcW w:w="0" w:type="auto"/>
          </w:tcPr>
          <w:p w14:paraId="6A555741" w14:textId="77777777" w:rsidR="007F0800" w:rsidRDefault="00AB12A8">
            <w:pPr>
              <w:pStyle w:val="Compact"/>
              <w:jc w:val="center"/>
            </w:pPr>
            <w:r>
              <w:rPr>
                <w:b/>
                <w:bCs/>
              </w:rPr>
              <w:t>+14.8%</w:t>
            </w:r>
          </w:p>
        </w:tc>
        <w:tc>
          <w:tcPr>
            <w:tcW w:w="0" w:type="auto"/>
          </w:tcPr>
          <w:p w14:paraId="670152AB" w14:textId="77777777" w:rsidR="007F0800" w:rsidRDefault="00AB12A8">
            <w:pPr>
              <w:pStyle w:val="Compact"/>
              <w:jc w:val="center"/>
            </w:pPr>
            <w:r>
              <w:t>🟡</w:t>
            </w:r>
            <w:r>
              <w:t xml:space="preserve"> YELLOW</w:t>
            </w:r>
          </w:p>
        </w:tc>
      </w:tr>
      <w:tr w:rsidR="007F0800" w14:paraId="0DEF91EF" w14:textId="77777777">
        <w:tc>
          <w:tcPr>
            <w:tcW w:w="0" w:type="auto"/>
          </w:tcPr>
          <w:p w14:paraId="3AD6AAF0" w14:textId="77777777" w:rsidR="007F0800" w:rsidRDefault="00AB12A8">
            <w:pPr>
              <w:pStyle w:val="Compact"/>
            </w:pPr>
            <w:r>
              <w:t>Wage bill / total expenditure</w:t>
            </w:r>
          </w:p>
        </w:tc>
        <w:tc>
          <w:tcPr>
            <w:tcW w:w="0" w:type="auto"/>
          </w:tcPr>
          <w:p w14:paraId="58688F0E" w14:textId="77777777" w:rsidR="007F0800" w:rsidRDefault="00AB12A8">
            <w:pPr>
              <w:pStyle w:val="Compact"/>
              <w:jc w:val="center"/>
            </w:pPr>
            <w:r>
              <w:t>48.2%</w:t>
            </w:r>
          </w:p>
        </w:tc>
        <w:tc>
          <w:tcPr>
            <w:tcW w:w="0" w:type="auto"/>
          </w:tcPr>
          <w:p w14:paraId="3E44EC12" w14:textId="77777777" w:rsidR="007F0800" w:rsidRDefault="00AB12A8">
            <w:pPr>
              <w:pStyle w:val="Compact"/>
              <w:jc w:val="center"/>
            </w:pPr>
            <w:r>
              <w:t>49.7%</w:t>
            </w:r>
          </w:p>
        </w:tc>
        <w:tc>
          <w:tcPr>
            <w:tcW w:w="0" w:type="auto"/>
          </w:tcPr>
          <w:p w14:paraId="75213C29" w14:textId="77777777" w:rsidR="007F0800" w:rsidRDefault="00AB12A8">
            <w:pPr>
              <w:pStyle w:val="Compact"/>
              <w:jc w:val="center"/>
            </w:pPr>
            <w:r>
              <w:rPr>
                <w:b/>
                <w:bCs/>
              </w:rPr>
              <w:t>49.1%</w:t>
            </w:r>
          </w:p>
        </w:tc>
        <w:tc>
          <w:tcPr>
            <w:tcW w:w="0" w:type="auto"/>
          </w:tcPr>
          <w:p w14:paraId="170DF7FE" w14:textId="77777777" w:rsidR="007F0800" w:rsidRDefault="00AB12A8">
            <w:pPr>
              <w:pStyle w:val="Compact"/>
              <w:jc w:val="center"/>
            </w:pPr>
            <w:r>
              <w:t>🟡</w:t>
            </w:r>
            <w:r>
              <w:t xml:space="preserve"> YELLOW</w:t>
            </w:r>
          </w:p>
        </w:tc>
      </w:tr>
      <w:tr w:rsidR="007F0800" w14:paraId="0DB57069" w14:textId="77777777">
        <w:tc>
          <w:tcPr>
            <w:tcW w:w="0" w:type="auto"/>
          </w:tcPr>
          <w:p w14:paraId="3ABE3C51" w14:textId="77777777" w:rsidR="007F0800" w:rsidRDefault="00AB12A8">
            <w:pPr>
              <w:pStyle w:val="Compact"/>
            </w:pPr>
            <w:r>
              <w:t>Budget rigidity (rigid + semi-rigid)</w:t>
            </w:r>
          </w:p>
        </w:tc>
        <w:tc>
          <w:tcPr>
            <w:tcW w:w="0" w:type="auto"/>
          </w:tcPr>
          <w:p w14:paraId="2F1CB5A3" w14:textId="77777777" w:rsidR="007F0800" w:rsidRDefault="00AB12A8">
            <w:pPr>
              <w:pStyle w:val="Compact"/>
              <w:jc w:val="center"/>
            </w:pPr>
            <w:r>
              <w:t>73.9%</w:t>
            </w:r>
          </w:p>
        </w:tc>
        <w:tc>
          <w:tcPr>
            <w:tcW w:w="0" w:type="auto"/>
          </w:tcPr>
          <w:p w14:paraId="7B70E941" w14:textId="77777777" w:rsidR="007F0800" w:rsidRDefault="00AB12A8">
            <w:pPr>
              <w:pStyle w:val="Compact"/>
              <w:jc w:val="center"/>
            </w:pPr>
            <w:r>
              <w:t>75.2%</w:t>
            </w:r>
          </w:p>
        </w:tc>
        <w:tc>
          <w:tcPr>
            <w:tcW w:w="0" w:type="auto"/>
          </w:tcPr>
          <w:p w14:paraId="35B167E9" w14:textId="77777777" w:rsidR="007F0800" w:rsidRDefault="00AB12A8">
            <w:pPr>
              <w:pStyle w:val="Compact"/>
              <w:jc w:val="center"/>
            </w:pPr>
            <w:r>
              <w:rPr>
                <w:b/>
                <w:bCs/>
              </w:rPr>
              <w:t>67.6%</w:t>
            </w:r>
          </w:p>
        </w:tc>
        <w:tc>
          <w:tcPr>
            <w:tcW w:w="0" w:type="auto"/>
          </w:tcPr>
          <w:p w14:paraId="71EC34E0" w14:textId="77777777" w:rsidR="007F0800" w:rsidRDefault="00AB12A8">
            <w:pPr>
              <w:pStyle w:val="Compact"/>
              <w:jc w:val="center"/>
            </w:pPr>
            <w:r>
              <w:t>🟢</w:t>
            </w:r>
            <w:r>
              <w:t xml:space="preserve"> GREEN</w:t>
            </w:r>
          </w:p>
        </w:tc>
      </w:tr>
      <w:tr w:rsidR="007F0800" w14:paraId="4A72E8BF" w14:textId="77777777">
        <w:tc>
          <w:tcPr>
            <w:tcW w:w="0" w:type="auto"/>
          </w:tcPr>
          <w:p w14:paraId="04A62984" w14:textId="77777777" w:rsidR="007F0800" w:rsidRDefault="00AB12A8">
            <w:pPr>
              <w:pStyle w:val="Compact"/>
            </w:pPr>
            <w:r>
              <w:t>Budget utilization rate</w:t>
            </w:r>
          </w:p>
        </w:tc>
        <w:tc>
          <w:tcPr>
            <w:tcW w:w="0" w:type="auto"/>
          </w:tcPr>
          <w:p w14:paraId="7593575C" w14:textId="77777777" w:rsidR="007F0800" w:rsidRDefault="00AB12A8">
            <w:pPr>
              <w:pStyle w:val="Compact"/>
              <w:jc w:val="center"/>
            </w:pPr>
            <w:r>
              <w:t>~85%</w:t>
            </w:r>
          </w:p>
        </w:tc>
        <w:tc>
          <w:tcPr>
            <w:tcW w:w="0" w:type="auto"/>
          </w:tcPr>
          <w:p w14:paraId="308B5D48" w14:textId="77777777" w:rsidR="007F0800" w:rsidRDefault="00AB12A8">
            <w:pPr>
              <w:pStyle w:val="Compact"/>
              <w:jc w:val="center"/>
            </w:pPr>
            <w:r>
              <w:t>86%</w:t>
            </w:r>
          </w:p>
        </w:tc>
        <w:tc>
          <w:tcPr>
            <w:tcW w:w="0" w:type="auto"/>
          </w:tcPr>
          <w:p w14:paraId="6D866C8B" w14:textId="77777777" w:rsidR="007F0800" w:rsidRDefault="00AB12A8">
            <w:pPr>
              <w:pStyle w:val="Compact"/>
              <w:jc w:val="center"/>
            </w:pPr>
            <w:r>
              <w:rPr>
                <w:b/>
                <w:bCs/>
              </w:rPr>
              <w:t>88.4%</w:t>
            </w:r>
          </w:p>
        </w:tc>
        <w:tc>
          <w:tcPr>
            <w:tcW w:w="0" w:type="auto"/>
          </w:tcPr>
          <w:p w14:paraId="58FF0515" w14:textId="77777777" w:rsidR="007F0800" w:rsidRDefault="00AB12A8">
            <w:pPr>
              <w:pStyle w:val="Compact"/>
              <w:jc w:val="center"/>
            </w:pPr>
            <w:r>
              <w:t>🟢</w:t>
            </w:r>
            <w:r>
              <w:t xml:space="preserve"> GREEN</w:t>
            </w:r>
          </w:p>
        </w:tc>
      </w:tr>
      <w:tr w:rsidR="007F0800" w14:paraId="70BF5227" w14:textId="77777777">
        <w:tc>
          <w:tcPr>
            <w:tcW w:w="0" w:type="auto"/>
          </w:tcPr>
          <w:p w14:paraId="3557B35D" w14:textId="77777777" w:rsidR="007F0800" w:rsidRDefault="00AB12A8">
            <w:pPr>
              <w:pStyle w:val="Compact"/>
            </w:pPr>
            <w:r>
              <w:t>Education as % of expenditure</w:t>
            </w:r>
          </w:p>
        </w:tc>
        <w:tc>
          <w:tcPr>
            <w:tcW w:w="0" w:type="auto"/>
          </w:tcPr>
          <w:p w14:paraId="0088D7AC" w14:textId="77777777" w:rsidR="007F0800" w:rsidRDefault="00AB12A8">
            <w:pPr>
              <w:pStyle w:val="Compact"/>
              <w:jc w:val="center"/>
            </w:pPr>
            <w:r>
              <w:t>11.0%</w:t>
            </w:r>
          </w:p>
        </w:tc>
        <w:tc>
          <w:tcPr>
            <w:tcW w:w="0" w:type="auto"/>
          </w:tcPr>
          <w:p w14:paraId="1CC68FA5" w14:textId="77777777" w:rsidR="007F0800" w:rsidRDefault="00AB12A8">
            <w:pPr>
              <w:pStyle w:val="Compact"/>
              <w:jc w:val="center"/>
            </w:pPr>
            <w:r>
              <w:t>11.0%</w:t>
            </w:r>
          </w:p>
        </w:tc>
        <w:tc>
          <w:tcPr>
            <w:tcW w:w="0" w:type="auto"/>
          </w:tcPr>
          <w:p w14:paraId="08815C3A" w14:textId="77777777" w:rsidR="007F0800" w:rsidRDefault="00AB12A8">
            <w:pPr>
              <w:pStyle w:val="Compact"/>
              <w:jc w:val="center"/>
            </w:pPr>
            <w:r>
              <w:rPr>
                <w:b/>
                <w:bCs/>
              </w:rPr>
              <w:t>18.1%</w:t>
            </w:r>
          </w:p>
        </w:tc>
        <w:tc>
          <w:tcPr>
            <w:tcW w:w="0" w:type="auto"/>
          </w:tcPr>
          <w:p w14:paraId="65BBCD49" w14:textId="77777777" w:rsidR="007F0800" w:rsidRDefault="00AB12A8">
            <w:pPr>
              <w:pStyle w:val="Compact"/>
              <w:jc w:val="center"/>
            </w:pPr>
            <w:r>
              <w:t>🟢</w:t>
            </w:r>
            <w:r>
              <w:t xml:space="preserve"> GREEN</w:t>
            </w:r>
          </w:p>
        </w:tc>
      </w:tr>
      <w:tr w:rsidR="007F0800" w14:paraId="0D4ABB22" w14:textId="77777777">
        <w:tc>
          <w:tcPr>
            <w:tcW w:w="0" w:type="auto"/>
          </w:tcPr>
          <w:p w14:paraId="76BFA896" w14:textId="77777777" w:rsidR="007F0800" w:rsidRDefault="00AB12A8">
            <w:pPr>
              <w:pStyle w:val="Compact"/>
            </w:pPr>
            <w:r>
              <w:t>Consolidated security as % of expenditure</w:t>
            </w:r>
          </w:p>
        </w:tc>
        <w:tc>
          <w:tcPr>
            <w:tcW w:w="0" w:type="auto"/>
          </w:tcPr>
          <w:p w14:paraId="31B37D9A" w14:textId="77777777" w:rsidR="007F0800" w:rsidRDefault="00AB12A8">
            <w:pPr>
              <w:pStyle w:val="Compact"/>
              <w:jc w:val="center"/>
            </w:pPr>
            <w:r>
              <w:t>—</w:t>
            </w:r>
          </w:p>
        </w:tc>
        <w:tc>
          <w:tcPr>
            <w:tcW w:w="0" w:type="auto"/>
          </w:tcPr>
          <w:p w14:paraId="4DE64134" w14:textId="77777777" w:rsidR="007F0800" w:rsidRDefault="00AB12A8">
            <w:pPr>
              <w:pStyle w:val="Compact"/>
              <w:jc w:val="center"/>
            </w:pPr>
            <w:r>
              <w:t>—</w:t>
            </w:r>
          </w:p>
        </w:tc>
        <w:tc>
          <w:tcPr>
            <w:tcW w:w="0" w:type="auto"/>
          </w:tcPr>
          <w:p w14:paraId="156053F1" w14:textId="77777777" w:rsidR="007F0800" w:rsidRDefault="00AB12A8">
            <w:pPr>
              <w:pStyle w:val="Compact"/>
              <w:jc w:val="center"/>
            </w:pPr>
            <w:r>
              <w:rPr>
                <w:b/>
                <w:bCs/>
              </w:rPr>
              <w:t>~20.6%</w:t>
            </w:r>
          </w:p>
        </w:tc>
        <w:tc>
          <w:tcPr>
            <w:tcW w:w="0" w:type="auto"/>
          </w:tcPr>
          <w:p w14:paraId="2B80F52E" w14:textId="77777777" w:rsidR="007F0800" w:rsidRDefault="00AB12A8">
            <w:pPr>
              <w:pStyle w:val="Compact"/>
              <w:jc w:val="center"/>
            </w:pPr>
            <w:r>
              <w:t>🟡</w:t>
            </w:r>
            <w:r>
              <w:t xml:space="preserve"> YELLOW</w:t>
            </w:r>
          </w:p>
        </w:tc>
      </w:tr>
      <w:tr w:rsidR="007F0800" w14:paraId="363B03FA" w14:textId="77777777">
        <w:tc>
          <w:tcPr>
            <w:tcW w:w="0" w:type="auto"/>
          </w:tcPr>
          <w:p w14:paraId="06F9BD87" w14:textId="77777777" w:rsidR="007F0800" w:rsidRDefault="00AB12A8">
            <w:pPr>
              <w:pStyle w:val="Compact"/>
            </w:pPr>
            <w:r>
              <w:rPr>
                <w:b/>
                <w:bCs/>
              </w:rPr>
              <w:t>FISCAL BALANCE</w:t>
            </w:r>
          </w:p>
        </w:tc>
        <w:tc>
          <w:tcPr>
            <w:tcW w:w="0" w:type="auto"/>
          </w:tcPr>
          <w:p w14:paraId="35E8A408" w14:textId="77777777" w:rsidR="007F0800" w:rsidRDefault="007F0800">
            <w:pPr>
              <w:pStyle w:val="Compact"/>
            </w:pPr>
          </w:p>
        </w:tc>
        <w:tc>
          <w:tcPr>
            <w:tcW w:w="0" w:type="auto"/>
          </w:tcPr>
          <w:p w14:paraId="38E9A564" w14:textId="77777777" w:rsidR="007F0800" w:rsidRDefault="007F0800">
            <w:pPr>
              <w:pStyle w:val="Compact"/>
            </w:pPr>
          </w:p>
        </w:tc>
        <w:tc>
          <w:tcPr>
            <w:tcW w:w="0" w:type="auto"/>
          </w:tcPr>
          <w:p w14:paraId="767AC90A" w14:textId="77777777" w:rsidR="007F0800" w:rsidRDefault="007F0800">
            <w:pPr>
              <w:pStyle w:val="Compact"/>
            </w:pPr>
          </w:p>
        </w:tc>
        <w:tc>
          <w:tcPr>
            <w:tcW w:w="0" w:type="auto"/>
          </w:tcPr>
          <w:p w14:paraId="5F7F6B0F" w14:textId="77777777" w:rsidR="007F0800" w:rsidRDefault="007F0800">
            <w:pPr>
              <w:pStyle w:val="Compact"/>
            </w:pPr>
          </w:p>
        </w:tc>
      </w:tr>
      <w:tr w:rsidR="007F0800" w14:paraId="58687F91" w14:textId="77777777">
        <w:tc>
          <w:tcPr>
            <w:tcW w:w="0" w:type="auto"/>
          </w:tcPr>
          <w:p w14:paraId="11146C62" w14:textId="77777777" w:rsidR="007F0800" w:rsidRDefault="00AB12A8">
            <w:pPr>
              <w:pStyle w:val="Compact"/>
            </w:pPr>
            <w:r>
              <w:t>Headline balance / revenue</w:t>
            </w:r>
          </w:p>
        </w:tc>
        <w:tc>
          <w:tcPr>
            <w:tcW w:w="0" w:type="auto"/>
          </w:tcPr>
          <w:p w14:paraId="578EA7EB" w14:textId="77777777" w:rsidR="007F0800" w:rsidRDefault="00AB12A8">
            <w:pPr>
              <w:pStyle w:val="Compact"/>
              <w:jc w:val="center"/>
            </w:pPr>
            <w:r>
              <w:t>+17.1%</w:t>
            </w:r>
          </w:p>
        </w:tc>
        <w:tc>
          <w:tcPr>
            <w:tcW w:w="0" w:type="auto"/>
          </w:tcPr>
          <w:p w14:paraId="16CCC4AE" w14:textId="77777777" w:rsidR="007F0800" w:rsidRDefault="00AB12A8">
            <w:pPr>
              <w:pStyle w:val="Compact"/>
              <w:jc w:val="center"/>
            </w:pPr>
            <w:r>
              <w:t>+11.6%</w:t>
            </w:r>
          </w:p>
        </w:tc>
        <w:tc>
          <w:tcPr>
            <w:tcW w:w="0" w:type="auto"/>
          </w:tcPr>
          <w:p w14:paraId="48A206AD" w14:textId="77777777" w:rsidR="007F0800" w:rsidRDefault="00AB12A8">
            <w:pPr>
              <w:pStyle w:val="Compact"/>
              <w:jc w:val="center"/>
            </w:pPr>
            <w:r>
              <w:rPr>
                <w:b/>
                <w:bCs/>
              </w:rPr>
              <w:t>+14.9%</w:t>
            </w:r>
          </w:p>
        </w:tc>
        <w:tc>
          <w:tcPr>
            <w:tcW w:w="0" w:type="auto"/>
          </w:tcPr>
          <w:p w14:paraId="0AE6EEEC" w14:textId="77777777" w:rsidR="007F0800" w:rsidRDefault="00AB12A8">
            <w:pPr>
              <w:pStyle w:val="Compact"/>
              <w:jc w:val="center"/>
            </w:pPr>
            <w:r>
              <w:t>🟢</w:t>
            </w:r>
            <w:r>
              <w:t xml:space="preserve"> GREEN</w:t>
            </w:r>
          </w:p>
        </w:tc>
      </w:tr>
      <w:tr w:rsidR="007F0800" w14:paraId="553A608B" w14:textId="77777777">
        <w:tc>
          <w:tcPr>
            <w:tcW w:w="0" w:type="auto"/>
          </w:tcPr>
          <w:p w14:paraId="3BF2C17B" w14:textId="77777777" w:rsidR="007F0800" w:rsidRDefault="00AB12A8">
            <w:pPr>
              <w:pStyle w:val="Compact"/>
            </w:pPr>
            <w:r>
              <w:t>Consolidated balance / revenue (est.)</w:t>
            </w:r>
          </w:p>
        </w:tc>
        <w:tc>
          <w:tcPr>
            <w:tcW w:w="0" w:type="auto"/>
          </w:tcPr>
          <w:p w14:paraId="6AF5636C" w14:textId="77777777" w:rsidR="007F0800" w:rsidRDefault="00AB12A8">
            <w:pPr>
              <w:pStyle w:val="Compact"/>
              <w:jc w:val="center"/>
            </w:pPr>
            <w:r>
              <w:t>—</w:t>
            </w:r>
          </w:p>
        </w:tc>
        <w:tc>
          <w:tcPr>
            <w:tcW w:w="0" w:type="auto"/>
          </w:tcPr>
          <w:p w14:paraId="62F41AF9" w14:textId="77777777" w:rsidR="007F0800" w:rsidRDefault="00AB12A8">
            <w:pPr>
              <w:pStyle w:val="Compact"/>
              <w:jc w:val="center"/>
            </w:pPr>
            <w:r>
              <w:t>~3.8%</w:t>
            </w:r>
          </w:p>
        </w:tc>
        <w:tc>
          <w:tcPr>
            <w:tcW w:w="0" w:type="auto"/>
          </w:tcPr>
          <w:p w14:paraId="49BB9C4C" w14:textId="77777777" w:rsidR="007F0800" w:rsidRDefault="00AB12A8">
            <w:pPr>
              <w:pStyle w:val="Compact"/>
              <w:jc w:val="center"/>
            </w:pPr>
            <w:r>
              <w:rPr>
                <w:b/>
                <w:bCs/>
              </w:rPr>
              <w:t>~7.1%</w:t>
            </w:r>
          </w:p>
        </w:tc>
        <w:tc>
          <w:tcPr>
            <w:tcW w:w="0" w:type="auto"/>
          </w:tcPr>
          <w:p w14:paraId="3D67E148" w14:textId="77777777" w:rsidR="007F0800" w:rsidRDefault="00AB12A8">
            <w:pPr>
              <w:pStyle w:val="Compact"/>
              <w:jc w:val="center"/>
            </w:pPr>
            <w:r>
              <w:t>🟢</w:t>
            </w:r>
            <w:r>
              <w:t xml:space="preserve"> GREEN</w:t>
            </w:r>
          </w:p>
        </w:tc>
      </w:tr>
      <w:tr w:rsidR="007F0800" w14:paraId="23571018" w14:textId="77777777">
        <w:tc>
          <w:tcPr>
            <w:tcW w:w="0" w:type="auto"/>
          </w:tcPr>
          <w:p w14:paraId="3B96A916" w14:textId="77777777" w:rsidR="007F0800" w:rsidRDefault="00AB12A8">
            <w:pPr>
              <w:pStyle w:val="Compact"/>
            </w:pPr>
            <w:r>
              <w:t>Superávit Financiero (₡ millions)</w:t>
            </w:r>
          </w:p>
        </w:tc>
        <w:tc>
          <w:tcPr>
            <w:tcW w:w="0" w:type="auto"/>
          </w:tcPr>
          <w:p w14:paraId="1DE17CBF" w14:textId="77777777" w:rsidR="007F0800" w:rsidRDefault="00AB12A8">
            <w:pPr>
              <w:pStyle w:val="Compact"/>
              <w:jc w:val="center"/>
            </w:pPr>
            <w:r>
              <w:t>4.06</w:t>
            </w:r>
          </w:p>
        </w:tc>
        <w:tc>
          <w:tcPr>
            <w:tcW w:w="0" w:type="auto"/>
          </w:tcPr>
          <w:p w14:paraId="6E7B775D" w14:textId="77777777" w:rsidR="007F0800" w:rsidRDefault="00AB12A8">
            <w:pPr>
              <w:pStyle w:val="Compact"/>
              <w:jc w:val="center"/>
            </w:pPr>
            <w:r>
              <w:t>1.26</w:t>
            </w:r>
          </w:p>
        </w:tc>
        <w:tc>
          <w:tcPr>
            <w:tcW w:w="0" w:type="auto"/>
          </w:tcPr>
          <w:p w14:paraId="119F0BAC" w14:textId="77777777" w:rsidR="007F0800" w:rsidRDefault="00AB12A8">
            <w:pPr>
              <w:pStyle w:val="Compact"/>
              <w:jc w:val="center"/>
            </w:pPr>
            <w:r>
              <w:rPr>
                <w:b/>
                <w:bCs/>
              </w:rPr>
              <w:t>20.02</w:t>
            </w:r>
          </w:p>
        </w:tc>
        <w:tc>
          <w:tcPr>
            <w:tcW w:w="0" w:type="auto"/>
          </w:tcPr>
          <w:p w14:paraId="1D8F73B8" w14:textId="77777777" w:rsidR="007F0800" w:rsidRDefault="00AB12A8">
            <w:pPr>
              <w:pStyle w:val="Compact"/>
              <w:jc w:val="center"/>
            </w:pPr>
            <w:r>
              <w:t>🟢</w:t>
            </w:r>
            <w:r>
              <w:t xml:space="preserve"> GREEN</w:t>
            </w:r>
          </w:p>
        </w:tc>
      </w:tr>
      <w:tr w:rsidR="007F0800" w14:paraId="67BFBB0B" w14:textId="77777777">
        <w:tc>
          <w:tcPr>
            <w:tcW w:w="0" w:type="auto"/>
          </w:tcPr>
          <w:p w14:paraId="5E112FAD" w14:textId="77777777" w:rsidR="007F0800" w:rsidRDefault="00AB12A8">
            <w:pPr>
              <w:pStyle w:val="Compact"/>
            </w:pPr>
            <w:r>
              <w:rPr>
                <w:b/>
                <w:bCs/>
              </w:rPr>
              <w:t>DEBT</w:t>
            </w:r>
          </w:p>
        </w:tc>
        <w:tc>
          <w:tcPr>
            <w:tcW w:w="0" w:type="auto"/>
          </w:tcPr>
          <w:p w14:paraId="545EDA36" w14:textId="77777777" w:rsidR="007F0800" w:rsidRDefault="007F0800">
            <w:pPr>
              <w:pStyle w:val="Compact"/>
            </w:pPr>
          </w:p>
        </w:tc>
        <w:tc>
          <w:tcPr>
            <w:tcW w:w="0" w:type="auto"/>
          </w:tcPr>
          <w:p w14:paraId="55E625B4" w14:textId="77777777" w:rsidR="007F0800" w:rsidRDefault="007F0800">
            <w:pPr>
              <w:pStyle w:val="Compact"/>
            </w:pPr>
          </w:p>
        </w:tc>
        <w:tc>
          <w:tcPr>
            <w:tcW w:w="0" w:type="auto"/>
          </w:tcPr>
          <w:p w14:paraId="79414D4B" w14:textId="77777777" w:rsidR="007F0800" w:rsidRDefault="007F0800">
            <w:pPr>
              <w:pStyle w:val="Compact"/>
            </w:pPr>
          </w:p>
        </w:tc>
        <w:tc>
          <w:tcPr>
            <w:tcW w:w="0" w:type="auto"/>
          </w:tcPr>
          <w:p w14:paraId="593F2D75" w14:textId="77777777" w:rsidR="007F0800" w:rsidRDefault="007F0800">
            <w:pPr>
              <w:pStyle w:val="Compact"/>
            </w:pPr>
          </w:p>
        </w:tc>
      </w:tr>
      <w:tr w:rsidR="007F0800" w14:paraId="1E28D339" w14:textId="77777777">
        <w:tc>
          <w:tcPr>
            <w:tcW w:w="0" w:type="auto"/>
          </w:tcPr>
          <w:p w14:paraId="41777128" w14:textId="77777777" w:rsidR="007F0800" w:rsidRDefault="00AB12A8">
            <w:pPr>
              <w:pStyle w:val="Compact"/>
            </w:pPr>
            <w:r>
              <w:t>Total debt / revenue</w:t>
            </w:r>
          </w:p>
        </w:tc>
        <w:tc>
          <w:tcPr>
            <w:tcW w:w="0" w:type="auto"/>
          </w:tcPr>
          <w:p w14:paraId="1E3CF568" w14:textId="77777777" w:rsidR="007F0800" w:rsidRDefault="00AB12A8">
            <w:pPr>
              <w:pStyle w:val="Compact"/>
              <w:jc w:val="center"/>
            </w:pPr>
            <w:r>
              <w:t>22.6%</w:t>
            </w:r>
          </w:p>
        </w:tc>
        <w:tc>
          <w:tcPr>
            <w:tcW w:w="0" w:type="auto"/>
          </w:tcPr>
          <w:p w14:paraId="239F6383" w14:textId="77777777" w:rsidR="007F0800" w:rsidRDefault="00AB12A8">
            <w:pPr>
              <w:pStyle w:val="Compact"/>
              <w:jc w:val="center"/>
            </w:pPr>
            <w:r>
              <w:t>20.2%</w:t>
            </w:r>
          </w:p>
        </w:tc>
        <w:tc>
          <w:tcPr>
            <w:tcW w:w="0" w:type="auto"/>
          </w:tcPr>
          <w:p w14:paraId="34B94C11" w14:textId="77777777" w:rsidR="007F0800" w:rsidRDefault="00AB12A8">
            <w:pPr>
              <w:pStyle w:val="Compact"/>
              <w:jc w:val="center"/>
            </w:pPr>
            <w:r>
              <w:rPr>
                <w:b/>
                <w:bCs/>
              </w:rPr>
              <w:t>18.1%</w:t>
            </w:r>
          </w:p>
        </w:tc>
        <w:tc>
          <w:tcPr>
            <w:tcW w:w="0" w:type="auto"/>
          </w:tcPr>
          <w:p w14:paraId="43A7F9D9" w14:textId="77777777" w:rsidR="007F0800" w:rsidRDefault="00AB12A8">
            <w:pPr>
              <w:pStyle w:val="Compact"/>
              <w:jc w:val="center"/>
            </w:pPr>
            <w:r>
              <w:t>🟢</w:t>
            </w:r>
            <w:r>
              <w:t xml:space="preserve"> GREEN</w:t>
            </w:r>
          </w:p>
        </w:tc>
      </w:tr>
      <w:tr w:rsidR="007F0800" w14:paraId="6FAAF31D" w14:textId="77777777">
        <w:tc>
          <w:tcPr>
            <w:tcW w:w="0" w:type="auto"/>
          </w:tcPr>
          <w:p w14:paraId="1F3BFFEF" w14:textId="77777777" w:rsidR="007F0800" w:rsidRDefault="00AB12A8">
            <w:pPr>
              <w:pStyle w:val="Compact"/>
            </w:pPr>
            <w:r>
              <w:t>Debt service / expenditure</w:t>
            </w:r>
          </w:p>
        </w:tc>
        <w:tc>
          <w:tcPr>
            <w:tcW w:w="0" w:type="auto"/>
          </w:tcPr>
          <w:p w14:paraId="5BD63F93" w14:textId="77777777" w:rsidR="007F0800" w:rsidRDefault="00AB12A8">
            <w:pPr>
              <w:pStyle w:val="Compact"/>
              <w:jc w:val="center"/>
            </w:pPr>
            <w:r>
              <w:t>4.6%</w:t>
            </w:r>
          </w:p>
        </w:tc>
        <w:tc>
          <w:tcPr>
            <w:tcW w:w="0" w:type="auto"/>
          </w:tcPr>
          <w:p w14:paraId="4551DCBE" w14:textId="77777777" w:rsidR="007F0800" w:rsidRDefault="00AB12A8">
            <w:pPr>
              <w:pStyle w:val="Compact"/>
              <w:jc w:val="center"/>
            </w:pPr>
            <w:r>
              <w:t>4.3%</w:t>
            </w:r>
          </w:p>
        </w:tc>
        <w:tc>
          <w:tcPr>
            <w:tcW w:w="0" w:type="auto"/>
          </w:tcPr>
          <w:p w14:paraId="708E45E7" w14:textId="77777777" w:rsidR="007F0800" w:rsidRDefault="00AB12A8">
            <w:pPr>
              <w:pStyle w:val="Compact"/>
              <w:jc w:val="center"/>
            </w:pPr>
            <w:r>
              <w:rPr>
                <w:b/>
                <w:bCs/>
              </w:rPr>
              <w:t>3.3%</w:t>
            </w:r>
          </w:p>
        </w:tc>
        <w:tc>
          <w:tcPr>
            <w:tcW w:w="0" w:type="auto"/>
          </w:tcPr>
          <w:p w14:paraId="1D1CA9CE" w14:textId="77777777" w:rsidR="007F0800" w:rsidRDefault="00AB12A8">
            <w:pPr>
              <w:pStyle w:val="Compact"/>
              <w:jc w:val="center"/>
            </w:pPr>
            <w:r>
              <w:t>🟢</w:t>
            </w:r>
            <w:r>
              <w:t xml:space="preserve"> GREEN</w:t>
            </w:r>
          </w:p>
        </w:tc>
      </w:tr>
      <w:tr w:rsidR="007F0800" w14:paraId="59C0B504" w14:textId="77777777">
        <w:tc>
          <w:tcPr>
            <w:tcW w:w="0" w:type="auto"/>
          </w:tcPr>
          <w:p w14:paraId="0C3D90FB" w14:textId="77777777" w:rsidR="007F0800" w:rsidRDefault="00AB12A8">
            <w:pPr>
              <w:pStyle w:val="Compact"/>
            </w:pPr>
            <w:r>
              <w:t>Debt service / revenue</w:t>
            </w:r>
          </w:p>
        </w:tc>
        <w:tc>
          <w:tcPr>
            <w:tcW w:w="0" w:type="auto"/>
          </w:tcPr>
          <w:p w14:paraId="30EFA0F6" w14:textId="77777777" w:rsidR="007F0800" w:rsidRDefault="00AB12A8">
            <w:pPr>
              <w:pStyle w:val="Compact"/>
              <w:jc w:val="center"/>
            </w:pPr>
            <w:r>
              <w:t>3.8%</w:t>
            </w:r>
          </w:p>
        </w:tc>
        <w:tc>
          <w:tcPr>
            <w:tcW w:w="0" w:type="auto"/>
          </w:tcPr>
          <w:p w14:paraId="73FEC48C" w14:textId="77777777" w:rsidR="007F0800" w:rsidRDefault="00AB12A8">
            <w:pPr>
              <w:pStyle w:val="Compact"/>
              <w:jc w:val="center"/>
            </w:pPr>
            <w:r>
              <w:t>3.8%</w:t>
            </w:r>
          </w:p>
        </w:tc>
        <w:tc>
          <w:tcPr>
            <w:tcW w:w="0" w:type="auto"/>
          </w:tcPr>
          <w:p w14:paraId="0FC71E22" w14:textId="77777777" w:rsidR="007F0800" w:rsidRDefault="00AB12A8">
            <w:pPr>
              <w:pStyle w:val="Compact"/>
              <w:jc w:val="center"/>
            </w:pPr>
            <w:r>
              <w:rPr>
                <w:b/>
                <w:bCs/>
              </w:rPr>
              <w:t>2.8%</w:t>
            </w:r>
          </w:p>
        </w:tc>
        <w:tc>
          <w:tcPr>
            <w:tcW w:w="0" w:type="auto"/>
          </w:tcPr>
          <w:p w14:paraId="64DBA7C9" w14:textId="77777777" w:rsidR="007F0800" w:rsidRDefault="00AB12A8">
            <w:pPr>
              <w:pStyle w:val="Compact"/>
              <w:jc w:val="center"/>
            </w:pPr>
            <w:r>
              <w:t>🟢</w:t>
            </w:r>
            <w:r>
              <w:t xml:space="preserve"> GREEN</w:t>
            </w:r>
          </w:p>
        </w:tc>
      </w:tr>
      <w:tr w:rsidR="007F0800" w14:paraId="7FA1AC19" w14:textId="77777777">
        <w:tc>
          <w:tcPr>
            <w:tcW w:w="0" w:type="auto"/>
          </w:tcPr>
          <w:p w14:paraId="50ED42FA" w14:textId="77777777" w:rsidR="007F0800" w:rsidRDefault="00AB12A8">
            <w:pPr>
              <w:pStyle w:val="Compact"/>
            </w:pPr>
            <w:r>
              <w:t>Net debt trajectory</w:t>
            </w:r>
          </w:p>
        </w:tc>
        <w:tc>
          <w:tcPr>
            <w:tcW w:w="0" w:type="auto"/>
          </w:tcPr>
          <w:p w14:paraId="392F5992" w14:textId="77777777" w:rsidR="007F0800" w:rsidRDefault="00AB12A8">
            <w:pPr>
              <w:pStyle w:val="Compact"/>
              <w:jc w:val="center"/>
            </w:pPr>
            <w:r>
              <w:t>declining</w:t>
            </w:r>
          </w:p>
        </w:tc>
        <w:tc>
          <w:tcPr>
            <w:tcW w:w="0" w:type="auto"/>
          </w:tcPr>
          <w:p w14:paraId="688C0D54" w14:textId="77777777" w:rsidR="007F0800" w:rsidRDefault="00AB12A8">
            <w:pPr>
              <w:pStyle w:val="Compact"/>
              <w:jc w:val="center"/>
            </w:pPr>
            <w:r>
              <w:t>declining</w:t>
            </w:r>
          </w:p>
        </w:tc>
        <w:tc>
          <w:tcPr>
            <w:tcW w:w="0" w:type="auto"/>
          </w:tcPr>
          <w:p w14:paraId="5FE840CE" w14:textId="77777777" w:rsidR="007F0800" w:rsidRDefault="00AB12A8">
            <w:pPr>
              <w:pStyle w:val="Compact"/>
              <w:jc w:val="center"/>
            </w:pPr>
            <w:r>
              <w:rPr>
                <w:b/>
                <w:bCs/>
              </w:rPr>
              <w:t>rising</w:t>
            </w:r>
          </w:p>
        </w:tc>
        <w:tc>
          <w:tcPr>
            <w:tcW w:w="0" w:type="auto"/>
          </w:tcPr>
          <w:p w14:paraId="6C0B1140" w14:textId="77777777" w:rsidR="007F0800" w:rsidRDefault="00AB12A8">
            <w:pPr>
              <w:pStyle w:val="Compact"/>
              <w:jc w:val="center"/>
            </w:pPr>
            <w:r>
              <w:t>🟡</w:t>
            </w:r>
            <w:r>
              <w:t xml:space="preserve"> YELLOW</w:t>
            </w:r>
          </w:p>
        </w:tc>
      </w:tr>
      <w:tr w:rsidR="007F0800" w14:paraId="6BE332C2" w14:textId="77777777">
        <w:tc>
          <w:tcPr>
            <w:tcW w:w="0" w:type="auto"/>
          </w:tcPr>
          <w:p w14:paraId="785431FD" w14:textId="77777777" w:rsidR="007F0800" w:rsidRDefault="00AB12A8">
            <w:pPr>
              <w:pStyle w:val="Compact"/>
            </w:pPr>
            <w:r>
              <w:t>Debt concentration (1922 loan)</w:t>
            </w:r>
          </w:p>
        </w:tc>
        <w:tc>
          <w:tcPr>
            <w:tcW w:w="0" w:type="auto"/>
          </w:tcPr>
          <w:p w14:paraId="510EC14D" w14:textId="77777777" w:rsidR="007F0800" w:rsidRDefault="00AB12A8">
            <w:pPr>
              <w:pStyle w:val="Compact"/>
              <w:jc w:val="center"/>
            </w:pPr>
            <w:r>
              <w:t>62%</w:t>
            </w:r>
          </w:p>
        </w:tc>
        <w:tc>
          <w:tcPr>
            <w:tcW w:w="0" w:type="auto"/>
          </w:tcPr>
          <w:p w14:paraId="3E1A93B2" w14:textId="77777777" w:rsidR="007F0800" w:rsidRDefault="00AB12A8">
            <w:pPr>
              <w:pStyle w:val="Compact"/>
              <w:jc w:val="center"/>
            </w:pPr>
            <w:r>
              <w:t>62%</w:t>
            </w:r>
          </w:p>
        </w:tc>
        <w:tc>
          <w:tcPr>
            <w:tcW w:w="0" w:type="auto"/>
          </w:tcPr>
          <w:p w14:paraId="1CA0DCA6" w14:textId="77777777" w:rsidR="007F0800" w:rsidRDefault="00AB12A8">
            <w:pPr>
              <w:pStyle w:val="Compact"/>
              <w:jc w:val="center"/>
            </w:pPr>
            <w:r>
              <w:t>~53%*</w:t>
            </w:r>
          </w:p>
        </w:tc>
        <w:tc>
          <w:tcPr>
            <w:tcW w:w="0" w:type="auto"/>
          </w:tcPr>
          <w:p w14:paraId="623D7CA2" w14:textId="77777777" w:rsidR="007F0800" w:rsidRDefault="00AB12A8">
            <w:pPr>
              <w:pStyle w:val="Compact"/>
              <w:jc w:val="center"/>
            </w:pPr>
            <w:r>
              <w:t>🟢</w:t>
            </w:r>
            <w:r>
              <w:t xml:space="preserve"> GREEN</w:t>
            </w:r>
          </w:p>
        </w:tc>
      </w:tr>
      <w:tr w:rsidR="007F0800" w14:paraId="6205AD31" w14:textId="77777777">
        <w:tc>
          <w:tcPr>
            <w:tcW w:w="0" w:type="auto"/>
          </w:tcPr>
          <w:p w14:paraId="061F2980" w14:textId="77777777" w:rsidR="007F0800" w:rsidRDefault="00AB12A8">
            <w:pPr>
              <w:pStyle w:val="Compact"/>
            </w:pPr>
            <w:r>
              <w:rPr>
                <w:b/>
                <w:bCs/>
              </w:rPr>
              <w:t>STRUCTURAL</w:t>
            </w:r>
          </w:p>
        </w:tc>
        <w:tc>
          <w:tcPr>
            <w:tcW w:w="0" w:type="auto"/>
          </w:tcPr>
          <w:p w14:paraId="7487D210" w14:textId="77777777" w:rsidR="007F0800" w:rsidRDefault="007F0800">
            <w:pPr>
              <w:pStyle w:val="Compact"/>
            </w:pPr>
          </w:p>
        </w:tc>
        <w:tc>
          <w:tcPr>
            <w:tcW w:w="0" w:type="auto"/>
          </w:tcPr>
          <w:p w14:paraId="1992A35B" w14:textId="77777777" w:rsidR="007F0800" w:rsidRDefault="007F0800">
            <w:pPr>
              <w:pStyle w:val="Compact"/>
            </w:pPr>
          </w:p>
        </w:tc>
        <w:tc>
          <w:tcPr>
            <w:tcW w:w="0" w:type="auto"/>
          </w:tcPr>
          <w:p w14:paraId="29919122" w14:textId="77777777" w:rsidR="007F0800" w:rsidRDefault="007F0800">
            <w:pPr>
              <w:pStyle w:val="Compact"/>
            </w:pPr>
          </w:p>
        </w:tc>
        <w:tc>
          <w:tcPr>
            <w:tcW w:w="0" w:type="auto"/>
          </w:tcPr>
          <w:p w14:paraId="50798C3C" w14:textId="77777777" w:rsidR="007F0800" w:rsidRDefault="007F0800">
            <w:pPr>
              <w:pStyle w:val="Compact"/>
            </w:pPr>
          </w:p>
        </w:tc>
      </w:tr>
      <w:tr w:rsidR="007F0800" w14:paraId="3F0C75E1" w14:textId="77777777">
        <w:tc>
          <w:tcPr>
            <w:tcW w:w="0" w:type="auto"/>
          </w:tcPr>
          <w:p w14:paraId="0ED21103" w14:textId="77777777" w:rsidR="007F0800" w:rsidRDefault="00AB12A8">
            <w:pPr>
              <w:pStyle w:val="Compact"/>
            </w:pPr>
            <w:r>
              <w:t>Revenue-to-GDP</w:t>
            </w:r>
          </w:p>
        </w:tc>
        <w:tc>
          <w:tcPr>
            <w:tcW w:w="0" w:type="auto"/>
          </w:tcPr>
          <w:p w14:paraId="2BE35C42" w14:textId="77777777" w:rsidR="007F0800" w:rsidRDefault="00AB12A8">
            <w:pPr>
              <w:pStyle w:val="Compact"/>
              <w:jc w:val="center"/>
            </w:pPr>
            <w:r>
              <w:t>[pending]</w:t>
            </w:r>
          </w:p>
        </w:tc>
        <w:tc>
          <w:tcPr>
            <w:tcW w:w="0" w:type="auto"/>
          </w:tcPr>
          <w:p w14:paraId="4C572458" w14:textId="77777777" w:rsidR="007F0800" w:rsidRDefault="00AB12A8">
            <w:pPr>
              <w:pStyle w:val="Compact"/>
              <w:jc w:val="center"/>
            </w:pPr>
            <w:r>
              <w:t>[pending]</w:t>
            </w:r>
          </w:p>
        </w:tc>
        <w:tc>
          <w:tcPr>
            <w:tcW w:w="0" w:type="auto"/>
          </w:tcPr>
          <w:p w14:paraId="461A320A" w14:textId="77777777" w:rsidR="007F0800" w:rsidRDefault="00AB12A8">
            <w:pPr>
              <w:pStyle w:val="Compact"/>
              <w:jc w:val="center"/>
            </w:pPr>
            <w:r>
              <w:t>[pending]</w:t>
            </w:r>
          </w:p>
        </w:tc>
        <w:tc>
          <w:tcPr>
            <w:tcW w:w="0" w:type="auto"/>
          </w:tcPr>
          <w:p w14:paraId="75FE7CF3" w14:textId="77777777" w:rsidR="007F0800" w:rsidRDefault="00AB12A8">
            <w:pPr>
              <w:pStyle w:val="Compact"/>
              <w:jc w:val="center"/>
            </w:pPr>
            <w:r>
              <w:t>⬜</w:t>
            </w:r>
            <w:r>
              <w:t xml:space="preserve"> NO DATA</w:t>
            </w:r>
          </w:p>
        </w:tc>
      </w:tr>
      <w:tr w:rsidR="007F0800" w14:paraId="75F5CBED" w14:textId="77777777">
        <w:tc>
          <w:tcPr>
            <w:tcW w:w="0" w:type="auto"/>
          </w:tcPr>
          <w:p w14:paraId="5C131F77" w14:textId="77777777" w:rsidR="007F0800" w:rsidRDefault="00AB12A8">
            <w:pPr>
              <w:pStyle w:val="Compact"/>
            </w:pPr>
            <w:r>
              <w:t>Debt-to-GDP</w:t>
            </w:r>
          </w:p>
        </w:tc>
        <w:tc>
          <w:tcPr>
            <w:tcW w:w="0" w:type="auto"/>
          </w:tcPr>
          <w:p w14:paraId="64AAF331" w14:textId="77777777" w:rsidR="007F0800" w:rsidRDefault="00AB12A8">
            <w:pPr>
              <w:pStyle w:val="Compact"/>
              <w:jc w:val="center"/>
            </w:pPr>
            <w:r>
              <w:t>[pending]</w:t>
            </w:r>
          </w:p>
        </w:tc>
        <w:tc>
          <w:tcPr>
            <w:tcW w:w="0" w:type="auto"/>
          </w:tcPr>
          <w:p w14:paraId="0D408C46" w14:textId="77777777" w:rsidR="007F0800" w:rsidRDefault="00AB12A8">
            <w:pPr>
              <w:pStyle w:val="Compact"/>
              <w:jc w:val="center"/>
            </w:pPr>
            <w:r>
              <w:t>[pending]</w:t>
            </w:r>
          </w:p>
        </w:tc>
        <w:tc>
          <w:tcPr>
            <w:tcW w:w="0" w:type="auto"/>
          </w:tcPr>
          <w:p w14:paraId="00521B5F" w14:textId="77777777" w:rsidR="007F0800" w:rsidRDefault="00AB12A8">
            <w:pPr>
              <w:pStyle w:val="Compact"/>
              <w:jc w:val="center"/>
            </w:pPr>
            <w:r>
              <w:t>[pending]</w:t>
            </w:r>
          </w:p>
        </w:tc>
        <w:tc>
          <w:tcPr>
            <w:tcW w:w="0" w:type="auto"/>
          </w:tcPr>
          <w:p w14:paraId="68F0B8FE" w14:textId="77777777" w:rsidR="007F0800" w:rsidRDefault="00AB12A8">
            <w:pPr>
              <w:pStyle w:val="Compact"/>
              <w:jc w:val="center"/>
            </w:pPr>
            <w:r>
              <w:t>⬜</w:t>
            </w:r>
            <w:r>
              <w:t xml:space="preserve"> NO DATA</w:t>
            </w:r>
          </w:p>
        </w:tc>
      </w:tr>
    </w:tbl>
    <w:p w14:paraId="719D41A6" w14:textId="77777777" w:rsidR="007F0800" w:rsidRDefault="00AB12A8">
      <w:pPr>
        <w:pStyle w:val="BodyText"/>
      </w:pPr>
      <w:r>
        <w:rPr>
          <w:i/>
          <w:iCs/>
        </w:rPr>
        <w:t>Estimated from 1954 debt composition data.</w:t>
      </w:r>
    </w:p>
    <w:p w14:paraId="38EC7591" w14:textId="77777777" w:rsidR="007F0800" w:rsidRDefault="00AB12A8">
      <w:r>
        <w:pict w14:anchorId="5E2AF395">
          <v:rect id="_x0000_i1033" style="width:0;height:1.5pt" o:hralign="center" o:hrstd="t" o:hr="t"/>
        </w:pict>
      </w:r>
    </w:p>
    <w:p w14:paraId="626703AE" w14:textId="77777777" w:rsidR="007F0800" w:rsidRDefault="00AB12A8">
      <w:pPr>
        <w:pStyle w:val="Heading2"/>
      </w:pPr>
      <w:bookmarkStart w:id="26" w:name="assessment-and-outlook"/>
      <w:bookmarkEnd w:id="24"/>
      <w:bookmarkEnd w:id="25"/>
      <w:r>
        <w:t>8. Assessment and Outlook</w:t>
      </w:r>
    </w:p>
    <w:p w14:paraId="25051968" w14:textId="77777777" w:rsidR="007F0800" w:rsidRDefault="00AB12A8">
      <w:pPr>
        <w:pStyle w:val="Heading3"/>
      </w:pPr>
      <w:bookmarkStart w:id="27" w:name="overall-assessment"/>
      <w:r>
        <w:t>8.1 Overall Assessment</w:t>
      </w:r>
    </w:p>
    <w:p w14:paraId="4FAC7389" w14:textId="77777777" w:rsidR="007F0800" w:rsidRDefault="00AB12A8">
      <w:pPr>
        <w:pStyle w:val="FirstParagraph"/>
      </w:pPr>
      <w:r>
        <w:t xml:space="preserve">El Salvador’s fiscal position in 1954 can be characterized as </w:t>
      </w:r>
      <w:r>
        <w:rPr>
          <w:b/>
          <w:bCs/>
        </w:rPr>
        <w:t>peak strength with embedded fragility</w:t>
      </w:r>
      <w:r>
        <w:t>. Every flow indicator pointed to health: revenue was surging, spending was expanding into productive areas (education, health, infrastructure), the surplus was large, debt service was at a historic low, and the government’s cash position was the strongest in years. The balance sheet was sound, with assets exceeding liabilities by a comfortable margin.</w:t>
      </w:r>
    </w:p>
    <w:p w14:paraId="25D936EC" w14:textId="77777777" w:rsidR="007F0800" w:rsidRDefault="00AB12A8">
      <w:pPr>
        <w:pStyle w:val="BodyText"/>
      </w:pPr>
      <w:r>
        <w:t xml:space="preserve">But the structural indicators told a different story. Revenue concentration in trade taxes had </w:t>
      </w:r>
      <w:r>
        <w:rPr>
          <w:i/>
          <w:iCs/>
        </w:rPr>
        <w:t>worsened</w:t>
      </w:r>
      <w:r>
        <w:t xml:space="preserve"> during the boom (from 87% to 92% of total revenue), as trade tax collections surged while the income tax stagnated. The income tax — the only instrument with the potential to provide an autonomous, domestically-anchored revenue base — was collecting just 6.4% of total revenue, constrained by the deliberate design choices of the 1951 reform and the coffee growers’ exemption. The wage bill was approaching the 50% threshold. The consolidated security apparatus consumed one-fifth of the budget. And the</w:t>
      </w:r>
      <w:r>
        <w:t xml:space="preserve"> pipeline of infrastructure commitments — the Valle de La Esperanza, the forthcoming Carretera del Litoral, the Acajutla port — would require sustained borrowing that could only be serviced if revenue growth continued.</w:t>
      </w:r>
    </w:p>
    <w:p w14:paraId="191CC1A5" w14:textId="77777777" w:rsidR="007F0800" w:rsidRDefault="00AB12A8">
      <w:pPr>
        <w:pStyle w:val="BodyText"/>
      </w:pPr>
      <w:r>
        <w:t>The 1954 fiscal position was, in short, the strongest possible version of a structurally fragile system. Everything worked when coffee prices were high. The question was what would happen when they fell.</w:t>
      </w:r>
    </w:p>
    <w:p w14:paraId="7F3D9C79" w14:textId="77777777" w:rsidR="007F0800" w:rsidRDefault="00AB12A8">
      <w:pPr>
        <w:pStyle w:val="Heading3"/>
      </w:pPr>
      <w:bookmarkStart w:id="28" w:name="forward-looking-risks"/>
      <w:bookmarkEnd w:id="27"/>
      <w:r>
        <w:t>8.2 Forward-Looking Risks</w:t>
      </w:r>
    </w:p>
    <w:p w14:paraId="79A8BD5F" w14:textId="77777777" w:rsidR="007F0800" w:rsidRDefault="00AB12A8">
      <w:pPr>
        <w:numPr>
          <w:ilvl w:val="0"/>
          <w:numId w:val="5"/>
        </w:numPr>
      </w:pPr>
      <w:r>
        <w:rPr>
          <w:b/>
          <w:bCs/>
        </w:rPr>
        <w:t>Coffee price reversal.</w:t>
      </w:r>
      <w:r>
        <w:t xml:space="preserve"> The 19% revenue surge was overwhelmingly driven by coffee prices operating at the top bracket of the Decreto 836 progressive schedule. Any sustained decline in international coffee prices would simultaneously reduce export duties (the fastest-growing revenue line), reduce import duties (as lower export earnings curtailed import capacity), and reduce consumption taxes (as domestic demand contracted). A 20% coffee price decline could reduce total revenue by 12–16% within one to two fiscal years.</w:t>
      </w:r>
    </w:p>
    <w:p w14:paraId="5975E99C" w14:textId="77777777" w:rsidR="007F0800" w:rsidRDefault="00AB12A8">
      <w:pPr>
        <w:numPr>
          <w:ilvl w:val="0"/>
          <w:numId w:val="5"/>
        </w:numPr>
      </w:pPr>
      <w:r>
        <w:rPr>
          <w:b/>
          <w:bCs/>
        </w:rPr>
        <w:t>Income tax inadequacy.</w:t>
      </w:r>
      <w:r>
        <w:t xml:space="preserve"> The income tax at 6.4% of revenue could not serve as a fiscal anchor in a trade-tax downturn. The structural constraints — the 5% maximum corporate rate, the coffee growers’ exemption — would require legislative reform to address, and such reform would face the same political resistance that had blocked direct taxation for a century (as documented by Pleites).</w:t>
      </w:r>
    </w:p>
    <w:p w14:paraId="1B8FE881" w14:textId="77777777" w:rsidR="007F0800" w:rsidRDefault="00AB12A8">
      <w:pPr>
        <w:numPr>
          <w:ilvl w:val="0"/>
          <w:numId w:val="5"/>
        </w:numPr>
      </w:pPr>
      <w:r>
        <w:rPr>
          <w:b/>
          <w:bCs/>
        </w:rPr>
        <w:t>Expenditure momentum.</w:t>
      </w:r>
      <w:r>
        <w:t xml:space="preserve"> Total spending grew 14.8% in 1954 — faster than in any prior year. The social spending expansion (education at 18.1%, health at 10.0%) created new service delivery commitments and payroll obligations that would be difficult to reverse. The wage bill at 49.1% was approaching the critical threshold. This spending was building the Osorio government’s political legitimacy — cutting it would undermine both the development strategy and the regime’s social compact.</w:t>
      </w:r>
    </w:p>
    <w:p w14:paraId="7AD766BD" w14:textId="77777777" w:rsidR="007F0800" w:rsidRDefault="00AB12A8">
      <w:pPr>
        <w:numPr>
          <w:ilvl w:val="0"/>
          <w:numId w:val="5"/>
        </w:numPr>
      </w:pPr>
      <w:r>
        <w:rPr>
          <w:b/>
          <w:bCs/>
        </w:rPr>
        <w:t>Infrastructure borrowing pipeline.</w:t>
      </w:r>
      <w:r>
        <w:t xml:space="preserve"> The authorization of the Carretera del Litoral project (forthcoming in 1955 at ₡55.7 million) would more than double the government’s committed obligations. While the 1954 fiscal space was ample, the draw-down of this and other infrastructure commitments would test the government’s ability to manage a growing debt service burden alongside rigid operational spending.</w:t>
      </w:r>
    </w:p>
    <w:p w14:paraId="348D649C" w14:textId="77777777" w:rsidR="007F0800" w:rsidRDefault="00AB12A8">
      <w:pPr>
        <w:numPr>
          <w:ilvl w:val="0"/>
          <w:numId w:val="5"/>
        </w:numPr>
      </w:pPr>
      <w:r>
        <w:rPr>
          <w:b/>
          <w:bCs/>
        </w:rPr>
        <w:t>Regime transition risk.</w:t>
      </w:r>
      <w:r>
        <w:t xml:space="preserve"> The Osorio administration was entering its final two years. The transition to the Lemus presidency (September 1956) would coincide with the maturation of infrastructure commitments and the potential reversal of coffee prices — testing whether the institutional reforms of 1952–1954 (the presupuesto por actividades, the quota system, the improved accounting) would survive a change of administration and a shift in economic conditions.</w:t>
      </w:r>
    </w:p>
    <w:p w14:paraId="2F598991" w14:textId="77777777" w:rsidR="007F0800" w:rsidRDefault="00AB12A8">
      <w:pPr>
        <w:pStyle w:val="Heading3"/>
      </w:pPr>
      <w:bookmarkStart w:id="29" w:name="data-gaps-and-recommended-next-steps"/>
      <w:bookmarkEnd w:id="28"/>
      <w:r>
        <w:t>8.3 Data Gaps and Recommended Next Steps</w:t>
      </w:r>
    </w:p>
    <w:tbl>
      <w:tblPr>
        <w:tblStyle w:val="Table"/>
        <w:tblW w:w="5000" w:type="pct"/>
        <w:tblLook w:val="0020" w:firstRow="1" w:lastRow="0" w:firstColumn="0" w:lastColumn="0" w:noHBand="0" w:noVBand="0"/>
      </w:tblPr>
      <w:tblGrid>
        <w:gridCol w:w="4124"/>
        <w:gridCol w:w="1860"/>
        <w:gridCol w:w="3376"/>
      </w:tblGrid>
      <w:tr w:rsidR="007F0800" w14:paraId="7530D64A" w14:textId="77777777" w:rsidTr="007F0800">
        <w:trPr>
          <w:cnfStyle w:val="100000000000" w:firstRow="1" w:lastRow="0" w:firstColumn="0" w:lastColumn="0" w:oddVBand="0" w:evenVBand="0" w:oddHBand="0" w:evenHBand="0" w:firstRowFirstColumn="0" w:firstRowLastColumn="0" w:lastRowFirstColumn="0" w:lastRowLastColumn="0"/>
          <w:tblHeader/>
        </w:trPr>
        <w:tc>
          <w:tcPr>
            <w:tcW w:w="0" w:type="auto"/>
          </w:tcPr>
          <w:p w14:paraId="18FF51CD" w14:textId="77777777" w:rsidR="007F0800" w:rsidRDefault="00AB12A8">
            <w:pPr>
              <w:pStyle w:val="Compact"/>
            </w:pPr>
            <w:r>
              <w:t>Gap</w:t>
            </w:r>
          </w:p>
        </w:tc>
        <w:tc>
          <w:tcPr>
            <w:tcW w:w="0" w:type="auto"/>
          </w:tcPr>
          <w:p w14:paraId="15F1DBF3" w14:textId="77777777" w:rsidR="007F0800" w:rsidRDefault="00AB12A8">
            <w:pPr>
              <w:pStyle w:val="Compact"/>
              <w:jc w:val="center"/>
            </w:pPr>
            <w:r>
              <w:t>Impact on Analysis</w:t>
            </w:r>
          </w:p>
        </w:tc>
        <w:tc>
          <w:tcPr>
            <w:tcW w:w="0" w:type="auto"/>
          </w:tcPr>
          <w:p w14:paraId="7A8FAEC6" w14:textId="77777777" w:rsidR="007F0800" w:rsidRDefault="00AB12A8">
            <w:pPr>
              <w:pStyle w:val="Compact"/>
            </w:pPr>
            <w:r>
              <w:t>Source to Fill Gap</w:t>
            </w:r>
          </w:p>
        </w:tc>
      </w:tr>
      <w:tr w:rsidR="007F0800" w14:paraId="57C9481E" w14:textId="77777777">
        <w:tc>
          <w:tcPr>
            <w:tcW w:w="0" w:type="auto"/>
          </w:tcPr>
          <w:p w14:paraId="6D99D888" w14:textId="77777777" w:rsidR="007F0800" w:rsidRDefault="00AB12A8">
            <w:pPr>
              <w:pStyle w:val="Compact"/>
            </w:pPr>
            <w:r>
              <w:t>GDP in current colones, 1952–1964</w:t>
            </w:r>
          </w:p>
        </w:tc>
        <w:tc>
          <w:tcPr>
            <w:tcW w:w="0" w:type="auto"/>
          </w:tcPr>
          <w:p w14:paraId="4214B8CA" w14:textId="77777777" w:rsidR="007F0800" w:rsidRDefault="00AB12A8">
            <w:pPr>
              <w:pStyle w:val="Compact"/>
              <w:jc w:val="center"/>
            </w:pPr>
            <w:r>
              <w:t>CRITICAL</w:t>
            </w:r>
          </w:p>
        </w:tc>
        <w:tc>
          <w:tcPr>
            <w:tcW w:w="0" w:type="auto"/>
          </w:tcPr>
          <w:p w14:paraId="30020011" w14:textId="77777777" w:rsidR="007F0800" w:rsidRDefault="00AB12A8">
            <w:pPr>
              <w:pStyle w:val="Compact"/>
            </w:pPr>
            <w:r>
              <w:t>BCR historical national accounts</w:t>
            </w:r>
          </w:p>
        </w:tc>
      </w:tr>
      <w:tr w:rsidR="007F0800" w14:paraId="219C87BD" w14:textId="77777777">
        <w:tc>
          <w:tcPr>
            <w:tcW w:w="0" w:type="auto"/>
          </w:tcPr>
          <w:p w14:paraId="5FE08CB9" w14:textId="77777777" w:rsidR="007F0800" w:rsidRDefault="00AB12A8">
            <w:pPr>
              <w:pStyle w:val="Compact"/>
            </w:pPr>
            <w:r>
              <w:t>Coffee price series (FOB per quintal)</w:t>
            </w:r>
          </w:p>
        </w:tc>
        <w:tc>
          <w:tcPr>
            <w:tcW w:w="0" w:type="auto"/>
          </w:tcPr>
          <w:p w14:paraId="44838FA4" w14:textId="77777777" w:rsidR="007F0800" w:rsidRDefault="00AB12A8">
            <w:pPr>
              <w:pStyle w:val="Compact"/>
              <w:jc w:val="center"/>
            </w:pPr>
            <w:r>
              <w:t>HIGH</w:t>
            </w:r>
          </w:p>
        </w:tc>
        <w:tc>
          <w:tcPr>
            <w:tcW w:w="0" w:type="auto"/>
          </w:tcPr>
          <w:p w14:paraId="062A58C7" w14:textId="77777777" w:rsidR="007F0800" w:rsidRDefault="00AB12A8">
            <w:pPr>
              <w:pStyle w:val="Compact"/>
            </w:pPr>
            <w:r>
              <w:t>BCR external sector statistics</w:t>
            </w:r>
          </w:p>
        </w:tc>
      </w:tr>
      <w:tr w:rsidR="007F0800" w14:paraId="0C61239C" w14:textId="77777777">
        <w:tc>
          <w:tcPr>
            <w:tcW w:w="0" w:type="auto"/>
          </w:tcPr>
          <w:p w14:paraId="0D100F0B" w14:textId="77777777" w:rsidR="007F0800" w:rsidRDefault="00AB12A8">
            <w:pPr>
              <w:pStyle w:val="Compact"/>
            </w:pPr>
            <w:r>
              <w:t>Disaggregated interest vs. amortization by instrument</w:t>
            </w:r>
          </w:p>
        </w:tc>
        <w:tc>
          <w:tcPr>
            <w:tcW w:w="0" w:type="auto"/>
          </w:tcPr>
          <w:p w14:paraId="3C1DC102" w14:textId="77777777" w:rsidR="007F0800" w:rsidRDefault="00AB12A8">
            <w:pPr>
              <w:pStyle w:val="Compact"/>
              <w:jc w:val="center"/>
            </w:pPr>
            <w:r>
              <w:t>MODERATE</w:t>
            </w:r>
          </w:p>
        </w:tc>
        <w:tc>
          <w:tcPr>
            <w:tcW w:w="0" w:type="auto"/>
          </w:tcPr>
          <w:p w14:paraId="5C82436A" w14:textId="77777777" w:rsidR="007F0800" w:rsidRDefault="00AB12A8">
            <w:pPr>
              <w:pStyle w:val="Compact"/>
            </w:pPr>
            <w:r>
              <w:t>Detailed annexes of Memorias</w:t>
            </w:r>
          </w:p>
        </w:tc>
      </w:tr>
      <w:tr w:rsidR="007F0800" w14:paraId="5854786E" w14:textId="77777777">
        <w:tc>
          <w:tcPr>
            <w:tcW w:w="0" w:type="auto"/>
          </w:tcPr>
          <w:p w14:paraId="059FD2F2" w14:textId="77777777" w:rsidR="007F0800" w:rsidRDefault="00AB12A8">
            <w:pPr>
              <w:pStyle w:val="Compact"/>
            </w:pPr>
            <w:r>
              <w:t>Population data by year</w:t>
            </w:r>
          </w:p>
        </w:tc>
        <w:tc>
          <w:tcPr>
            <w:tcW w:w="0" w:type="auto"/>
          </w:tcPr>
          <w:p w14:paraId="5F6C3506" w14:textId="77777777" w:rsidR="007F0800" w:rsidRDefault="00AB12A8">
            <w:pPr>
              <w:pStyle w:val="Compact"/>
              <w:jc w:val="center"/>
            </w:pPr>
            <w:r>
              <w:t>MODERATE</w:t>
            </w:r>
          </w:p>
        </w:tc>
        <w:tc>
          <w:tcPr>
            <w:tcW w:w="0" w:type="auto"/>
          </w:tcPr>
          <w:p w14:paraId="553B2056" w14:textId="77777777" w:rsidR="007F0800" w:rsidRDefault="00AB12A8">
            <w:pPr>
              <w:pStyle w:val="Compact"/>
            </w:pPr>
            <w:r>
              <w:t>Census/DIGESTYC records</w:t>
            </w:r>
          </w:p>
        </w:tc>
      </w:tr>
      <w:tr w:rsidR="007F0800" w14:paraId="471AD187" w14:textId="77777777">
        <w:tc>
          <w:tcPr>
            <w:tcW w:w="0" w:type="auto"/>
          </w:tcPr>
          <w:p w14:paraId="3B9CF119" w14:textId="77777777" w:rsidR="007F0800" w:rsidRDefault="00AB12A8">
            <w:pPr>
              <w:pStyle w:val="Compact"/>
            </w:pPr>
            <w:r>
              <w:t>Inflation index (CPI or equivalent)</w:t>
            </w:r>
          </w:p>
        </w:tc>
        <w:tc>
          <w:tcPr>
            <w:tcW w:w="0" w:type="auto"/>
          </w:tcPr>
          <w:p w14:paraId="0EDA1D75" w14:textId="77777777" w:rsidR="007F0800" w:rsidRDefault="00AB12A8">
            <w:pPr>
              <w:pStyle w:val="Compact"/>
              <w:jc w:val="center"/>
            </w:pPr>
            <w:r>
              <w:t>HIGH</w:t>
            </w:r>
          </w:p>
        </w:tc>
        <w:tc>
          <w:tcPr>
            <w:tcW w:w="0" w:type="auto"/>
          </w:tcPr>
          <w:p w14:paraId="60A8CF05" w14:textId="77777777" w:rsidR="007F0800" w:rsidRDefault="00AB12A8">
            <w:pPr>
              <w:pStyle w:val="Compact"/>
            </w:pPr>
            <w:r>
              <w:t>BCR/DIGESTYC for real payroll analysis</w:t>
            </w:r>
          </w:p>
        </w:tc>
      </w:tr>
      <w:tr w:rsidR="007F0800" w14:paraId="4D696AA8" w14:textId="77777777">
        <w:tc>
          <w:tcPr>
            <w:tcW w:w="0" w:type="auto"/>
          </w:tcPr>
          <w:p w14:paraId="6AE4F24B" w14:textId="77777777" w:rsidR="007F0800" w:rsidRDefault="00AB12A8">
            <w:pPr>
              <w:pStyle w:val="Compact"/>
            </w:pPr>
            <w:r>
              <w:t>Carretera del Litoral project documents</w:t>
            </w:r>
          </w:p>
        </w:tc>
        <w:tc>
          <w:tcPr>
            <w:tcW w:w="0" w:type="auto"/>
          </w:tcPr>
          <w:p w14:paraId="6C3027AC" w14:textId="77777777" w:rsidR="007F0800" w:rsidRDefault="00AB12A8">
            <w:pPr>
              <w:pStyle w:val="Compact"/>
              <w:jc w:val="center"/>
            </w:pPr>
            <w:r>
              <w:t>MODERATE</w:t>
            </w:r>
          </w:p>
        </w:tc>
        <w:tc>
          <w:tcPr>
            <w:tcW w:w="0" w:type="auto"/>
          </w:tcPr>
          <w:p w14:paraId="0E6ED837" w14:textId="77777777" w:rsidR="007F0800" w:rsidRDefault="00AB12A8">
            <w:pPr>
              <w:pStyle w:val="Compact"/>
            </w:pPr>
            <w:r>
              <w:t>IBRD archives</w:t>
            </w:r>
          </w:p>
        </w:tc>
      </w:tr>
    </w:tbl>
    <w:p w14:paraId="602D7D1B" w14:textId="77777777" w:rsidR="007F0800" w:rsidRDefault="00AB12A8">
      <w:pPr>
        <w:pStyle w:val="BodyText"/>
      </w:pPr>
      <w:r>
        <w:rPr>
          <w:b/>
          <w:bCs/>
        </w:rPr>
        <w:t>[This note should be updated when GDP data from the BCR for 1952–1964 becomes available, enabling computation of revenue/GDP, expenditure/GDP, and debt/GDP ratios — the core indicators for cross-country and inter-temporal fiscal comparison.]</w:t>
      </w:r>
    </w:p>
    <w:p w14:paraId="4C2558FD" w14:textId="77777777" w:rsidR="007F0800" w:rsidRDefault="00AB12A8">
      <w:r>
        <w:pict w14:anchorId="30CF80E2">
          <v:rect id="_x0000_i1034" style="width:0;height:1.5pt" o:hralign="center" o:hrstd="t" o:hr="t"/>
        </w:pict>
      </w:r>
    </w:p>
    <w:p w14:paraId="4FD3B621" w14:textId="77777777" w:rsidR="007F0800" w:rsidRPr="001C1233" w:rsidRDefault="00AB12A8">
      <w:pPr>
        <w:pStyle w:val="FirstParagraph"/>
        <w:rPr>
          <w:lang w:val="es-SV"/>
        </w:rPr>
      </w:pPr>
      <w:r w:rsidRPr="001C1233">
        <w:rPr>
          <w:i/>
          <w:iCs/>
          <w:lang w:val="es-SV"/>
        </w:rPr>
        <w:t>Source: Ministerio de Hacienda, Gobierno de El Salvador. Informe Complementario Constitucional, Ejercicio Fiscal de 1954. Signed by Ministro Enrique A. Porras, San Salvador, 17 de marzo de 1955.</w:t>
      </w:r>
    </w:p>
    <w:p w14:paraId="07FEF020" w14:textId="77777777" w:rsidR="007F0800" w:rsidRDefault="00AB12A8">
      <w:pPr>
        <w:pStyle w:val="BodyText"/>
      </w:pPr>
      <w:r>
        <w:rPr>
          <w:i/>
          <w:iCs/>
        </w:rPr>
        <w:t>Technical note prepared from scanned primary documents held in the repository: chepito61/El-Salvador-s-Political-Economy-of-Fiscal-Policy-1953-1980.</w:t>
      </w:r>
    </w:p>
    <w:p w14:paraId="5A4EB0D3" w14:textId="77777777" w:rsidR="007F0800" w:rsidRDefault="00AB12A8">
      <w:pPr>
        <w:pStyle w:val="BodyText"/>
      </w:pPr>
      <w:r>
        <w:rPr>
          <w:i/>
          <w:iCs/>
        </w:rPr>
        <w:t>Analytical framework follows IMF Fiscal Transparency Code (2019), IMF Debt Sustainability Analysis for Low-Income Countries framework, and standard public financial management diagnostic methodology.</w:t>
      </w:r>
      <w:bookmarkEnd w:id="0"/>
      <w:bookmarkEnd w:id="26"/>
      <w:bookmarkEnd w:id="29"/>
    </w:p>
    <w:sectPr w:rsidR="007F080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6B948" w14:textId="77777777" w:rsidR="00AB12A8" w:rsidRDefault="00AB12A8">
      <w:pPr>
        <w:spacing w:after="0"/>
      </w:pPr>
      <w:r>
        <w:separator/>
      </w:r>
    </w:p>
  </w:endnote>
  <w:endnote w:type="continuationSeparator" w:id="0">
    <w:p w14:paraId="3E12F564" w14:textId="77777777" w:rsidR="00AB12A8" w:rsidRDefault="00AB12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5CE23" w14:textId="77777777" w:rsidR="00AB12A8" w:rsidRDefault="00AB12A8">
      <w:r>
        <w:separator/>
      </w:r>
    </w:p>
  </w:footnote>
  <w:footnote w:type="continuationSeparator" w:id="0">
    <w:p w14:paraId="252A7176" w14:textId="77777777" w:rsidR="00AB12A8" w:rsidRDefault="00AB1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8C22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DDAC6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ABCF1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88674998">
    <w:abstractNumId w:val="0"/>
  </w:num>
  <w:num w:numId="2" w16cid:durableId="865289551">
    <w:abstractNumId w:val="1"/>
  </w:num>
  <w:num w:numId="3" w16cid:durableId="1154835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9878426">
    <w:abstractNumId w:val="1"/>
  </w:num>
  <w:num w:numId="5" w16cid:durableId="1503351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00"/>
    <w:rsid w:val="001C1233"/>
    <w:rsid w:val="007A0177"/>
    <w:rsid w:val="007F0800"/>
    <w:rsid w:val="00AB12A8"/>
    <w:rsid w:val="00D0169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CEF7"/>
  <w15:docId w15:val="{EF4E92C8-1C78-4927-A984-CF89A2C7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3662</Words>
  <Characters>21465</Characters>
  <Application>Microsoft Office Word</Application>
  <DocSecurity>0</DocSecurity>
  <Lines>1022</Lines>
  <Paragraphs>425</Paragraphs>
  <ScaleCrop>false</ScaleCrop>
  <Company/>
  <LinksUpToDate>false</LinksUpToDate>
  <CharactersWithSpaces>24702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Larios</dc:creator>
  <cp:keywords/>
  <cp:lastModifiedBy>Jose Larios</cp:lastModifiedBy>
  <cp:revision>3</cp:revision>
  <dcterms:created xsi:type="dcterms:W3CDTF">2026-03-30T22:17:00Z</dcterms:created>
  <dcterms:modified xsi:type="dcterms:W3CDTF">2026-03-30T22:17:00Z</dcterms:modified>
</cp:coreProperties>
</file>