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before="0" w:line="276"/>
        <w:jc w:val="center"/>
      </w:pPr>
      <w:r>
        <w:rPr>
          <w:rFonts w:ascii="Arial" w:cs="Arial" w:eastAsia="Arial" w:hAnsi="Arial"/>
          <w:b/>
          <w:bCs/>
          <w:i w:val="false"/>
          <w:iCs w:val="false"/>
          <w:color w:val="1F3864"/>
          <w:sz w:val="36"/>
          <w:szCs w:val="36"/>
        </w:rPr>
        <w:t xml:space="preserve">El Salvador: Fiscal Year 1958</w:t>
      </w:r>
    </w:p>
    <w:p>
      <w:pPr>
        <w:spacing w:after="100" w:before="0" w:line="276"/>
        <w:jc w:val="center"/>
      </w:pPr>
      <w:r>
        <w:rPr>
          <w:rFonts w:ascii="Arial" w:cs="Arial" w:eastAsia="Arial" w:hAnsi="Arial"/>
          <w:b w:val="false"/>
          <w:bCs w:val="false"/>
          <w:i/>
          <w:iCs/>
          <w:color w:val="CC3333"/>
          <w:sz w:val="26"/>
          <w:szCs w:val="26"/>
        </w:rPr>
        <w:t xml:space="preserve">The Coffee Crisis Hits the Fisc</w:t>
      </w:r>
    </w:p>
    <w:p>
      <w:pPr>
        <w:spacing w:after="300" w:before="0" w:line="276"/>
        <w:jc w:val="center"/>
      </w:pPr>
      <w:r>
        <w:rPr>
          <w:rFonts w:ascii="Arial" w:cs="Arial" w:eastAsia="Arial" w:hAnsi="Arial"/>
          <w:b w:val="false"/>
          <w:bCs w:val="false"/>
          <w:i/>
          <w:iCs/>
          <w:color w:val="555555"/>
          <w:sz w:val="24"/>
          <w:szCs w:val="24"/>
        </w:rPr>
        <w:t xml:space="preserve">Evidence from the Informe Complementario Constitucional</w:t>
      </w:r>
    </w:p>
    <w:p>
      <w:pPr>
        <w:spacing w:after="200" w:before="0" w:line="276"/>
        <w:jc w:val="center"/>
      </w:pPr>
      <w:r>
        <w:rPr>
          <w:rFonts w:ascii="Arial" w:cs="Arial" w:eastAsia="Arial" w:hAnsi="Arial"/>
          <w:b w:val="false"/>
          <w:bCs w:val="false"/>
          <w:i w:val="false"/>
          <w:iCs w:val="false"/>
          <w:color w:val="777777"/>
          <w:sz w:val="22"/>
          <w:szCs w:val="22"/>
        </w:rPr>
        <w:t xml:space="preserve">Working Note — Based on Primary Sources</w:t>
      </w:r>
    </w:p>
    <w:p>
      <w:pPr>
        <w:spacing w:after="100" w:before="0" w:line="276"/>
        <w:jc w:val="center"/>
      </w:pPr>
      <w:r>
        <w:rPr>
          <w:rFonts w:ascii="Arial" w:cs="Arial" w:eastAsia="Arial" w:hAnsi="Arial"/>
          <w:b w:val="false"/>
          <w:bCs w:val="false"/>
          <w:i/>
          <w:iCs/>
          <w:color w:val="777777"/>
          <w:sz w:val="20"/>
          <w:szCs w:val="20"/>
        </w:rPr>
        <w:t xml:space="preserve">Ministerio de Hacienda, Gobierno de El Salvador</w:t>
      </w:r>
    </w:p>
    <w:p>
      <w:pPr>
        <w:spacing w:after="160" w:before="0" w:line="276"/>
        <w:jc w:val="center"/>
      </w:pPr>
      <w:r>
        <w:rPr>
          <w:rFonts w:ascii="Arial" w:cs="Arial" w:eastAsia="Arial" w:hAnsi="Arial"/>
          <w:b w:val="false"/>
          <w:bCs w:val="false"/>
          <w:i w:val="false"/>
          <w:iCs w:val="false"/>
          <w:color w:val="777777"/>
          <w:sz w:val="22"/>
          <w:szCs w:val="22"/>
        </w:rPr>
        <w:t xml:space="preserve">April 2026</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Political Context</w:t>
      </w:r>
    </w:p>
    <w:p>
      <w:pPr>
        <w:spacing w:after="160" w:before="0" w:line="276"/>
        <w:jc w:val="both"/>
      </w:pPr>
      <w:r>
        <w:rPr>
          <w:rFonts w:ascii="Arial" w:cs="Arial" w:eastAsia="Arial" w:hAnsi="Arial"/>
          <w:b w:val="false"/>
          <w:bCs w:val="false"/>
          <w:i w:val="false"/>
          <w:iCs w:val="false"/>
          <w:color w:val="333333"/>
          <w:sz w:val="22"/>
          <w:szCs w:val="22"/>
        </w:rPr>
        <w:t xml:space="preserve">President: Colonel José María Lemus (1956–1960), PRUD. Second full year of the Lemus administration. Minister of Finance: </w:t>
      </w:r>
      <w:r>
        <w:rPr>
          <w:rFonts w:ascii="Arial" w:cs="Arial" w:eastAsia="Arial" w:hAnsi="Arial"/>
          <w:b/>
          <w:bCs/>
          <w:i w:val="false"/>
          <w:iCs w:val="false"/>
          <w:color w:val="333333"/>
          <w:sz w:val="22"/>
          <w:szCs w:val="22"/>
        </w:rPr>
        <w:t xml:space="preserve">Humberto Costa</w:t>
      </w:r>
      <w:r>
        <w:rPr>
          <w:rFonts w:ascii="Arial" w:cs="Arial" w:eastAsia="Arial" w:hAnsi="Arial"/>
          <w:b w:val="false"/>
          <w:bCs w:val="false"/>
          <w:i w:val="false"/>
          <w:iCs w:val="false"/>
          <w:color w:val="333333"/>
          <w:sz w:val="22"/>
          <w:szCs w:val="22"/>
        </w:rPr>
        <w:t xml:space="preserve"> (signed the Informe on February 28, 1959). Prepared by </w:t>
      </w:r>
      <w:r>
        <w:rPr>
          <w:rFonts w:ascii="Arial" w:cs="Arial" w:eastAsia="Arial" w:hAnsi="Arial"/>
          <w:b/>
          <w:bCs/>
          <w:i w:val="false"/>
          <w:iCs w:val="false"/>
          <w:color w:val="333333"/>
          <w:sz w:val="22"/>
          <w:szCs w:val="22"/>
        </w:rPr>
        <w:t xml:space="preserve">René López Bertrand</w:t>
      </w:r>
      <w:r>
        <w:rPr>
          <w:rFonts w:ascii="Arial" w:cs="Arial" w:eastAsia="Arial" w:hAnsi="Arial"/>
          <w:b w:val="false"/>
          <w:bCs w:val="false"/>
          <w:i w:val="false"/>
          <w:iCs w:val="false"/>
          <w:color w:val="333333"/>
          <w:sz w:val="22"/>
          <w:szCs w:val="22"/>
        </w:rPr>
        <w:t xml:space="preserve">, Jefe del Departamento de Contabilidad Central. Budget authorized by Decreto Legislativo No. 2537, December 23, 1957.</w:t>
      </w:r>
    </w:p>
    <w:p>
      <w:pPr>
        <w:spacing w:after="160" w:before="0" w:line="276"/>
        <w:jc w:val="both"/>
      </w:pPr>
      <w:r>
        <w:rPr>
          <w:rFonts w:ascii="Arial" w:cs="Arial" w:eastAsia="Arial" w:hAnsi="Arial"/>
          <w:b w:val="false"/>
          <w:bCs w:val="false"/>
          <w:i w:val="false"/>
          <w:iCs w:val="false"/>
          <w:color w:val="333333"/>
          <w:sz w:val="22"/>
          <w:szCs w:val="22"/>
        </w:rPr>
        <w:t xml:space="preserve">1958 is the pivotal year in the Lemus administration — the year the coffee crisis, documented by Turcios in </w:t>
      </w:r>
      <w:r>
        <w:rPr>
          <w:rFonts w:ascii="Arial" w:cs="Arial" w:eastAsia="Arial" w:hAnsi="Arial"/>
          <w:b w:val="false"/>
          <w:bCs w:val="false"/>
          <w:i/>
          <w:iCs/>
          <w:color w:val="333333"/>
          <w:sz w:val="22"/>
          <w:szCs w:val="22"/>
        </w:rPr>
        <w:t xml:space="preserve">Autoritarismo y modernización</w:t>
      </w:r>
      <w:r>
        <w:rPr>
          <w:rFonts w:ascii="Arial" w:cs="Arial" w:eastAsia="Arial" w:hAnsi="Arial"/>
          <w:b w:val="false"/>
          <w:bCs w:val="false"/>
          <w:i w:val="false"/>
          <w:iCs w:val="false"/>
          <w:color w:val="333333"/>
          <w:sz w:val="22"/>
          <w:szCs w:val="22"/>
        </w:rPr>
        <w:t xml:space="preserve"> (Chapter IV, “La crisis del café”), translated into fiscal reality. After a decade of nearly uninterrupted revenue growth, the government confronted the structural vulnerability that every prior diagnostic had warned about: a revenue base overwhelmingly dependent on coffee-driven trade taxes, with no countercyclical mechanism and an expenditure structure locked into rigid commitments.</w:t>
      </w:r>
    </w:p>
    <w:p>
      <w:pPr>
        <w:spacing w:after="160" w:before="0" w:line="276"/>
        <w:jc w:val="both"/>
      </w:pPr>
      <w:r>
        <w:rPr>
          <w:rFonts w:ascii="Arial" w:cs="Arial" w:eastAsia="Arial" w:hAnsi="Arial"/>
          <w:b w:val="false"/>
          <w:bCs w:val="false"/>
          <w:i/>
          <w:iCs/>
          <w:color w:val="333333"/>
          <w:sz w:val="22"/>
          <w:szCs w:val="22"/>
        </w:rPr>
        <w:t xml:space="preserve">Currency: US$1.00 = ₡2.50 (colones). Fixed exchange rate.</w:t>
      </w:r>
    </w:p>
    <w:p>
      <w:pPr>
        <w:pStyle w:val="Heading1"/>
        <w:spacing w:after="200" w:before="360" w:line="276"/>
        <w:jc w:val="both"/>
      </w:pPr>
      <w:r>
        <w:rPr>
          <w:rFonts w:ascii="Arial" w:cs="Arial" w:eastAsia="Arial" w:hAnsi="Arial"/>
          <w:b/>
          <w:bCs/>
          <w:i w:val="false"/>
          <w:iCs w:val="false"/>
          <w:color w:val="1F3864"/>
          <w:sz w:val="32"/>
          <w:szCs w:val="32"/>
        </w:rPr>
        <w:t xml:space="preserve">Introduction</w:t>
      </w:r>
    </w:p>
    <w:p>
      <w:pPr>
        <w:spacing w:after="160" w:before="0" w:line="276"/>
        <w:jc w:val="both"/>
      </w:pPr>
      <w:r>
        <w:rPr>
          <w:rFonts w:ascii="Arial" w:cs="Arial" w:eastAsia="Arial" w:hAnsi="Arial"/>
          <w:b w:val="false"/>
          <w:bCs w:val="false"/>
          <w:i w:val="false"/>
          <w:iCs w:val="false"/>
          <w:color w:val="333333"/>
          <w:sz w:val="22"/>
          <w:szCs w:val="22"/>
        </w:rPr>
        <w:t xml:space="preserve">This note presents the fiscal data for El Salvador’s fiscal year 1958, drawn from the Informe Complementario Constitucional (Parts A–D). The document includes the narrative body (Part A, 24 pages), detailed revenue tables (Part B, 13 pages), expenditure tables (Part C, 9 pages), and debt tables (Part D, 6 pages). 1958 marks a turning point in the series: </w:t>
      </w:r>
      <w:r>
        <w:rPr>
          <w:rFonts w:ascii="Arial" w:cs="Arial" w:eastAsia="Arial" w:hAnsi="Arial"/>
          <w:b/>
          <w:bCs/>
          <w:i w:val="false"/>
          <w:iCs w:val="false"/>
          <w:color w:val="333333"/>
          <w:sz w:val="22"/>
          <w:szCs w:val="22"/>
        </w:rPr>
        <w:t xml:space="preserve">the first year in which expenditure exceeded revenue</w:t>
      </w:r>
      <w:r>
        <w:rPr>
          <w:rFonts w:ascii="Arial" w:cs="Arial" w:eastAsia="Arial" w:hAnsi="Arial"/>
          <w:b w:val="false"/>
          <w:bCs w:val="false"/>
          <w:i w:val="false"/>
          <w:iCs w:val="false"/>
          <w:color w:val="333333"/>
          <w:sz w:val="22"/>
          <w:szCs w:val="22"/>
        </w:rPr>
        <w:t xml:space="preserve">, ending the string of surpluses that had characterized the 1952–1957 period.</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1. Revenue Structure and Performance</w:t>
      </w:r>
    </w:p>
    <w:p>
      <w:pPr>
        <w:pStyle w:val="Heading2"/>
        <w:spacing w:after="160" w:before="300" w:line="276"/>
        <w:jc w:val="both"/>
      </w:pPr>
      <w:r>
        <w:rPr>
          <w:rFonts w:ascii="Arial" w:cs="Arial" w:eastAsia="Arial" w:hAnsi="Arial"/>
          <w:b/>
          <w:bCs/>
          <w:i w:val="false"/>
          <w:iCs w:val="false"/>
          <w:color w:val="2E5090"/>
          <w:sz w:val="28"/>
          <w:szCs w:val="28"/>
        </w:rPr>
        <w:t xml:space="preserve">1.1 The Revenue Collapse</w:t>
      </w:r>
    </w:p>
    <w:p>
      <w:pPr>
        <w:spacing w:after="160" w:before="0" w:line="276"/>
        <w:jc w:val="both"/>
      </w:pPr>
      <w:r>
        <w:rPr>
          <w:rFonts w:ascii="Arial" w:cs="Arial" w:eastAsia="Arial" w:hAnsi="Arial"/>
          <w:b w:val="false"/>
          <w:bCs w:val="false"/>
          <w:i w:val="false"/>
          <w:iCs w:val="false"/>
          <w:color w:val="333333"/>
          <w:sz w:val="22"/>
          <w:szCs w:val="22"/>
        </w:rPr>
        <w:t xml:space="preserve">Total revenues collected and accrued (rentas percibidas y devengadas) fell to </w:t>
      </w:r>
      <w:r>
        <w:rPr>
          <w:rFonts w:ascii="Arial" w:cs="Arial" w:eastAsia="Arial" w:hAnsi="Arial"/>
          <w:b/>
          <w:bCs/>
          <w:i w:val="false"/>
          <w:iCs w:val="false"/>
          <w:color w:val="333333"/>
          <w:sz w:val="22"/>
          <w:szCs w:val="22"/>
        </w:rPr>
        <w:t xml:space="preserve">₡167,701,347.50</w:t>
      </w:r>
      <w:r>
        <w:rPr>
          <w:rFonts w:ascii="Arial" w:cs="Arial" w:eastAsia="Arial" w:hAnsi="Arial"/>
          <w:b w:val="false"/>
          <w:bCs w:val="false"/>
          <w:i w:val="false"/>
          <w:iCs w:val="false"/>
          <w:color w:val="333333"/>
          <w:sz w:val="22"/>
          <w:szCs w:val="22"/>
        </w:rPr>
        <w:t xml:space="preserve"> in fiscal year 1958 — a decline of </w:t>
      </w:r>
      <w:r>
        <w:rPr>
          <w:rFonts w:ascii="Arial" w:cs="Arial" w:eastAsia="Arial" w:hAnsi="Arial"/>
          <w:b/>
          <w:bCs/>
          <w:i w:val="false"/>
          <w:iCs w:val="false"/>
          <w:color w:val="333333"/>
          <w:sz w:val="22"/>
          <w:szCs w:val="22"/>
        </w:rPr>
        <w:t xml:space="preserve">₡21.8 million or 11.5%</w:t>
      </w:r>
      <w:r>
        <w:rPr>
          <w:rFonts w:ascii="Arial" w:cs="Arial" w:eastAsia="Arial" w:hAnsi="Arial"/>
          <w:b w:val="false"/>
          <w:bCs w:val="false"/>
          <w:i w:val="false"/>
          <w:iCs w:val="false"/>
          <w:color w:val="333333"/>
          <w:sz w:val="22"/>
          <w:szCs w:val="22"/>
        </w:rPr>
        <w:t xml:space="preserve"> from 1957’s record ₡189.5 million. This was by far the largest revenue decline in the ten-year series, nearly ten times the magnitude of the 1955 dip (–1.4%). Revenue fell back to approximately the level of 1954 (₡167.4M), erasing four years of growth.</w:t>
      </w:r>
    </w:p>
    <w:p>
      <w:pPr>
        <w:pStyle w:val="Heading2"/>
        <w:spacing w:after="160" w:before="300" w:line="276"/>
        <w:jc w:val="both"/>
      </w:pPr>
      <w:r>
        <w:rPr>
          <w:rFonts w:ascii="Arial" w:cs="Arial" w:eastAsia="Arial" w:hAnsi="Arial"/>
          <w:b/>
          <w:bCs/>
          <w:i w:val="false"/>
          <w:iCs w:val="false"/>
          <w:color w:val="2E5090"/>
          <w:sz w:val="28"/>
          <w:szCs w:val="28"/>
        </w:rPr>
        <w:t xml:space="preserve">1.2 Revenue Composition</w:t>
      </w:r>
    </w:p>
    <w:p>
      <w:pPr>
        <w:spacing w:after="80" w:before="0" w:line="276"/>
        <w:jc w:val="both"/>
      </w:pPr>
      <w:r>
        <w:rPr>
          <w:rFonts w:ascii="Arial" w:cs="Arial" w:eastAsia="Arial" w:hAnsi="Arial"/>
          <w:b/>
          <w:bCs/>
          <w:i w:val="false"/>
          <w:iCs w:val="false"/>
          <w:color w:val="333333"/>
          <w:sz w:val="18"/>
          <w:szCs w:val="18"/>
        </w:rPr>
        <w:t xml:space="preserve">Table 1. Revenue Composition, Fiscal Year 1958</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600"/>
        <w:gridCol w:w="1660"/>
      </w:tblGrid>
      <w:tr>
        <w:tc>
          <w:tcPr>
            <w:tcW w:type="dxa" w:w="3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Source</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Amount (₡M)</w:t>
            </w:r>
          </w:p>
        </w:tc>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Total</w:t>
            </w:r>
          </w:p>
        </w:tc>
        <w:tc>
          <w:tcPr>
            <w:tcW w:type="dxa" w:w="16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vs. 1957</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Derechos de Importación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35.4%</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w:t>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Derechos de Exportación</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35.5</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21.2%</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–35.0%</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Impuestos Manufacturados y Consumo</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16.7%</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Impuesto sobre la Renta y Vialidad</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18.6</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+15.4%</w:t>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Sucesiones y Donaciones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Especies Fiscales</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2.4%</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 taxes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Impuestos</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153.5</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91.5%</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
            </w:r>
          </w:p>
        </w:tc>
      </w:tr>
      <w:tr>
        <w:tc>
          <w:tcPr>
            <w:tcW w:type="dxa" w:w="3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Non-tax revenue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8.5%</w:t>
            </w:r>
          </w:p>
        </w:tc>
        <w:tc>
          <w:tcPr>
            <w:tcW w:type="dxa" w:w="16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
            </w:r>
          </w:p>
        </w:tc>
      </w:tr>
      <w:tr>
        <w:tc>
          <w:tcPr>
            <w:tcW w:type="dxa" w:w="35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167.7</w:t>
            </w:r>
          </w:p>
        </w:tc>
        <w:tc>
          <w:tcPr>
            <w:tcW w:type="dxa" w:w="16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100.0%</w:t>
            </w:r>
          </w:p>
        </w:tc>
        <w:tc>
          <w:tcPr>
            <w:tcW w:type="dxa" w:w="166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–11.5%</w:t>
            </w:r>
          </w:p>
        </w:tc>
      </w:tr>
    </w:tbl>
    <w:p>
      <w:pPr>
        <w:spacing w:after="200" w:before="40" w:line="276"/>
        <w:jc w:val="both"/>
      </w:pPr>
      <w:r>
        <w:rPr>
          <w:rFonts w:ascii="Arial" w:cs="Arial" w:eastAsia="Arial" w:hAnsi="Arial"/>
          <w:b w:val="false"/>
          <w:bCs w:val="false"/>
          <w:i/>
          <w:iCs/>
          <w:color w:val="333333"/>
          <w:sz w:val="16"/>
          <w:szCs w:val="16"/>
        </w:rPr>
        <w:t xml:space="preserve">Source: Part A narrative; Estado No. 2 (Part B).</w:t>
      </w:r>
    </w:p>
    <w:p>
      <w:pPr>
        <w:spacing w:after="160" w:before="0" w:line="276"/>
        <w:jc w:val="both"/>
      </w:pPr>
      <w:r>
        <w:rPr>
          <w:rFonts w:ascii="Arial" w:cs="Arial" w:eastAsia="Arial" w:hAnsi="Arial"/>
          <w:b w:val="false"/>
          <w:bCs w:val="false"/>
          <w:i w:val="false"/>
          <w:iCs w:val="false"/>
          <w:color w:val="333333"/>
          <w:sz w:val="22"/>
          <w:szCs w:val="22"/>
        </w:rPr>
        <w:t xml:space="preserve">The collapse was concentrated in export duties, which fell </w:t>
      </w:r>
      <w:r>
        <w:rPr>
          <w:rFonts w:ascii="Arial" w:cs="Arial" w:eastAsia="Arial" w:hAnsi="Arial"/>
          <w:b/>
          <w:bCs/>
          <w:i w:val="false"/>
          <w:iCs w:val="false"/>
          <w:color w:val="333333"/>
          <w:sz w:val="22"/>
          <w:szCs w:val="22"/>
        </w:rPr>
        <w:t xml:space="preserve">35%</w:t>
      </w:r>
      <w:r>
        <w:rPr>
          <w:rFonts w:ascii="Arial" w:cs="Arial" w:eastAsia="Arial" w:hAnsi="Arial"/>
          <w:b w:val="false"/>
          <w:bCs w:val="false"/>
          <w:i w:val="false"/>
          <w:iCs w:val="false"/>
          <w:color w:val="333333"/>
          <w:sz w:val="22"/>
          <w:szCs w:val="22"/>
        </w:rPr>
        <w:t xml:space="preserve"> — from ₡54.6M to ₡35.5M. This was the direct transmission mechanism of the coffee price decline through Decreto 836’s progressive schedule: as international prices fell, collections dropped into lower tax brackets, producing a disproportionate revenue loss. Import duties also declined (–6.0%), reflecting the reduced purchasing power that lower export earnings generated.</w:t>
      </w:r>
    </w:p>
    <w:p>
      <w:pPr>
        <w:pStyle w:val="Heading2"/>
        <w:spacing w:after="160" w:before="300" w:line="276"/>
        <w:jc w:val="both"/>
      </w:pPr>
      <w:r>
        <w:rPr>
          <w:rFonts w:ascii="Arial" w:cs="Arial" w:eastAsia="Arial" w:hAnsi="Arial"/>
          <w:b/>
          <w:bCs/>
          <w:i w:val="false"/>
          <w:iCs w:val="false"/>
          <w:color w:val="2E5090"/>
          <w:sz w:val="28"/>
          <w:szCs w:val="28"/>
        </w:rPr>
        <w:t xml:space="preserve">1.3 The Income Tax Silver Lining</w:t>
      </w:r>
    </w:p>
    <w:p>
      <w:pPr>
        <w:spacing w:after="160" w:before="0" w:line="276"/>
        <w:jc w:val="both"/>
      </w:pPr>
      <w:r>
        <w:rPr>
          <w:rFonts w:ascii="Arial" w:cs="Arial" w:eastAsia="Arial" w:hAnsi="Arial"/>
          <w:b w:val="false"/>
          <w:bCs w:val="false"/>
          <w:i w:val="false"/>
          <w:iCs w:val="false"/>
          <w:color w:val="333333"/>
          <w:sz w:val="22"/>
          <w:szCs w:val="22"/>
        </w:rPr>
        <w:t xml:space="preserve">Against the backdrop of collapsing trade revenue, the income tax </w:t>
      </w:r>
      <w:r>
        <w:rPr>
          <w:rFonts w:ascii="Arial" w:cs="Arial" w:eastAsia="Arial" w:hAnsi="Arial"/>
          <w:b/>
          <w:bCs/>
          <w:i w:val="false"/>
          <w:iCs w:val="false"/>
          <w:color w:val="333333"/>
          <w:sz w:val="22"/>
          <w:szCs w:val="22"/>
        </w:rPr>
        <w:t xml:space="preserve">continued to rise</w:t>
      </w:r>
      <w:r>
        <w:rPr>
          <w:rFonts w:ascii="Arial" w:cs="Arial" w:eastAsia="Arial" w:hAnsi="Arial"/>
          <w:b w:val="false"/>
          <w:bCs w:val="false"/>
          <w:i w:val="false"/>
          <w:iCs w:val="false"/>
          <w:color w:val="333333"/>
          <w:sz w:val="22"/>
          <w:szCs w:val="22"/>
        </w:rPr>
        <w:t xml:space="preserve">, reaching ₡18,586,808.04 — up 15.4% from 1957’s ₡16.1M. Its share of total revenue climbed to </w:t>
      </w:r>
      <w:r>
        <w:rPr>
          <w:rFonts w:ascii="Arial" w:cs="Arial" w:eastAsia="Arial" w:hAnsi="Arial"/>
          <w:b/>
          <w:bCs/>
          <w:i w:val="false"/>
          <w:iCs w:val="false"/>
          <w:color w:val="333333"/>
          <w:sz w:val="22"/>
          <w:szCs w:val="22"/>
        </w:rPr>
        <w:t xml:space="preserve">11.1%</w:t>
      </w:r>
      <w:r>
        <w:rPr>
          <w:rFonts w:ascii="Arial" w:cs="Arial" w:eastAsia="Arial" w:hAnsi="Arial"/>
          <w:b w:val="false"/>
          <w:bCs w:val="false"/>
          <w:i w:val="false"/>
          <w:iCs w:val="false"/>
          <w:color w:val="333333"/>
          <w:sz w:val="22"/>
          <w:szCs w:val="22"/>
        </w:rPr>
        <w:t xml:space="preserve">, a new high and a confirmation that the 1957 breakthrough was structural, not transitory. The Renta component alone was ₡15,089,568.29, with Vialidad contributing ₡3,497,239.75.</w:t>
      </w:r>
    </w:p>
    <w:p>
      <w:pPr>
        <w:spacing w:after="160" w:before="0" w:line="276"/>
        <w:jc w:val="both"/>
      </w:pPr>
      <w:r>
        <w:rPr>
          <w:rFonts w:ascii="Arial" w:cs="Arial" w:eastAsia="Arial" w:hAnsi="Arial"/>
          <w:b w:val="false"/>
          <w:bCs w:val="false"/>
          <w:i w:val="false"/>
          <w:iCs w:val="false"/>
          <w:color w:val="333333"/>
          <w:sz w:val="22"/>
          <w:szCs w:val="22"/>
        </w:rPr>
        <w:t xml:space="preserve">This is precisely the kind of countercyclical behavior that a diversified tax base should provide: as trade taxes fell, the income tax rose, partially offsetting the loss. However, “partially” is the key word: the income tax gained ₡2.5M while export duties lost ₡19.1M. The income tax’s structural constraints (Decreto 510’s 5% corporate rate, Decreto 836’s coffee grower exemption) prevented it from playing a larger stabilizing role.</w:t>
      </w:r>
    </w:p>
    <w:p>
      <w:pPr>
        <w:pStyle w:val="Heading2"/>
        <w:spacing w:after="160" w:before="300" w:line="276"/>
        <w:jc w:val="both"/>
      </w:pPr>
      <w:r>
        <w:rPr>
          <w:rFonts w:ascii="Arial" w:cs="Arial" w:eastAsia="Arial" w:hAnsi="Arial"/>
          <w:b/>
          <w:bCs/>
          <w:i w:val="false"/>
          <w:iCs w:val="false"/>
          <w:color w:val="2E5090"/>
          <w:sz w:val="28"/>
          <w:szCs w:val="28"/>
        </w:rPr>
        <w:t xml:space="preserve">1.4 Revenue Trend, 1949–1958</w:t>
      </w:r>
    </w:p>
    <w:p>
      <w:pPr>
        <w:spacing w:after="80" w:before="0" w:line="276"/>
        <w:jc w:val="both"/>
      </w:pPr>
      <w:r>
        <w:rPr>
          <w:rFonts w:ascii="Arial" w:cs="Arial" w:eastAsia="Arial" w:hAnsi="Arial"/>
          <w:b/>
          <w:bCs/>
          <w:i w:val="false"/>
          <w:iCs w:val="false"/>
          <w:color w:val="333333"/>
          <w:sz w:val="18"/>
          <w:szCs w:val="18"/>
        </w:rPr>
        <w:t xml:space="preserve">Table 2. Total Revenue, 1949–1958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Fiscal Year</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Revenue (₡M)</w:t>
            </w:r>
          </w:p>
        </w:tc>
        <w:tc>
          <w:tcPr>
            <w:tcW w:type="dxa" w:w="30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1949</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69.2</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1950</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83.4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1951</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117.7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1952</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129.7</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1953</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137.6</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167.4</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164.8</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170.6</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1957</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189.5</w:t>
            </w:r>
          </w:p>
        </w:tc>
        <w:tc>
          <w:tcPr>
            <w:tcW w:type="dxa" w:w="30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1958</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167.7</w:t>
            </w:r>
          </w:p>
        </w:tc>
        <w:tc>
          <w:tcPr>
            <w:tcW w:type="dxa" w:w="30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–11.5%</w:t>
            </w:r>
          </w:p>
        </w:tc>
      </w:tr>
    </w:tbl>
    <w:p>
      <w:pPr>
        <w:spacing w:after="200" w:before="40" w:line="276"/>
        <w:jc w:val="both"/>
      </w:pPr>
      <w:r>
        <w:rPr>
          <w:rFonts w:ascii="Arial" w:cs="Arial" w:eastAsia="Arial" w:hAnsi="Arial"/>
          <w:b w:val="false"/>
          <w:bCs w:val="false"/>
          <w:i/>
          <w:iCs/>
          <w:color w:val="333333"/>
          <w:sz w:val="16"/>
          <w:szCs w:val="16"/>
        </w:rPr>
        <w:t xml:space="preserve">Source: Part A narrative, p. 19.</w:t>
      </w:r>
    </w:p>
    <w:p>
      <w:pPr>
        <w:spacing w:after="160" w:before="0" w:line="276"/>
        <w:jc w:val="both"/>
      </w:pPr>
      <w:r>
        <w:rPr>
          <w:rFonts w:ascii="Arial" w:cs="Arial" w:eastAsia="Arial" w:hAnsi="Arial"/>
          <w:b w:val="false"/>
          <w:bCs w:val="false"/>
          <w:i w:val="false"/>
          <w:iCs w:val="false"/>
          <w:color w:val="333333"/>
          <w:sz w:val="22"/>
          <w:szCs w:val="22"/>
        </w:rPr>
        <w:t xml:space="preserve">The ten-year trend reveals the full boom-bust pattern of a coffee-dependent fiscal system. Revenue nearly tripled from 1949 to 1957, but in a single year the gains of 1956–1957 were wiped out. The 1958 revenue level was essentially identical to 1954’s — four years of real growth erased by a single commodity shock.</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2. Expenditure Structure</w:t>
      </w:r>
    </w:p>
    <w:p>
      <w:pPr>
        <w:pStyle w:val="Heading2"/>
        <w:spacing w:after="160" w:before="300" w:line="276"/>
        <w:jc w:val="both"/>
      </w:pPr>
      <w:r>
        <w:rPr>
          <w:rFonts w:ascii="Arial" w:cs="Arial" w:eastAsia="Arial" w:hAnsi="Arial"/>
          <w:b/>
          <w:bCs/>
          <w:i w:val="false"/>
          <w:iCs w:val="false"/>
          <w:color w:val="2E5090"/>
          <w:sz w:val="28"/>
          <w:szCs w:val="28"/>
        </w:rPr>
        <w:t xml:space="preserve">2.1 Expenditure Exceeded Revenue</w:t>
      </w:r>
    </w:p>
    <w:p>
      <w:pPr>
        <w:spacing w:after="160" w:before="0" w:line="276"/>
        <w:jc w:val="both"/>
      </w:pPr>
      <w:r>
        <w:rPr>
          <w:rFonts w:ascii="Arial" w:cs="Arial" w:eastAsia="Arial" w:hAnsi="Arial"/>
          <w:b w:val="false"/>
          <w:bCs w:val="false"/>
          <w:i w:val="false"/>
          <w:iCs w:val="false"/>
          <w:color w:val="333333"/>
          <w:sz w:val="22"/>
          <w:szCs w:val="22"/>
        </w:rPr>
        <w:t xml:space="preserve">Total expenditure (gastos y compromisos) reached </w:t>
      </w:r>
      <w:r>
        <w:rPr>
          <w:rFonts w:ascii="Arial" w:cs="Arial" w:eastAsia="Arial" w:hAnsi="Arial"/>
          <w:b/>
          <w:bCs/>
          <w:i w:val="false"/>
          <w:iCs w:val="false"/>
          <w:color w:val="333333"/>
          <w:sz w:val="22"/>
          <w:szCs w:val="22"/>
        </w:rPr>
        <w:t xml:space="preserve">₡184,674,790.23</w:t>
      </w:r>
      <w:r>
        <w:rPr>
          <w:rFonts w:ascii="Arial" w:cs="Arial" w:eastAsia="Arial" w:hAnsi="Arial"/>
          <w:b w:val="false"/>
          <w:bCs w:val="false"/>
          <w:i w:val="false"/>
          <w:iCs w:val="false"/>
          <w:color w:val="333333"/>
          <w:sz w:val="22"/>
          <w:szCs w:val="22"/>
        </w:rPr>
        <w:t xml:space="preserve"> — an increase of 9.3% over 1957 (₡169.0M) and, critically, </w:t>
      </w:r>
      <w:r>
        <w:rPr>
          <w:rFonts w:ascii="Arial" w:cs="Arial" w:eastAsia="Arial" w:hAnsi="Arial"/>
          <w:b/>
          <w:bCs/>
          <w:i w:val="false"/>
          <w:iCs w:val="false"/>
          <w:color w:val="333333"/>
          <w:sz w:val="22"/>
          <w:szCs w:val="22"/>
        </w:rPr>
        <w:t xml:space="preserve">₡17.0 million MORE than total revenue</w:t>
      </w:r>
      <w:r>
        <w:rPr>
          <w:rFonts w:ascii="Arial" w:cs="Arial" w:eastAsia="Arial" w:hAnsi="Arial"/>
          <w:b w:val="false"/>
          <w:bCs w:val="false"/>
          <w:i w:val="false"/>
          <w:iCs w:val="false"/>
          <w:color w:val="333333"/>
          <w:sz w:val="22"/>
          <w:szCs w:val="22"/>
        </w:rPr>
        <w:t xml:space="preserve">. For the first time in the series, the government spent more than it collected. The utilization rate was 96.7% (from authorized allocations of ₡190,940,777), the highest in the series — indicating that the government exhausted nearly all available budget authority.</w:t>
      </w:r>
    </w:p>
    <w:p>
      <w:pPr>
        <w:pStyle w:val="Heading2"/>
        <w:spacing w:after="160" w:before="300" w:line="276"/>
        <w:jc w:val="both"/>
      </w:pPr>
      <w:r>
        <w:rPr>
          <w:rFonts w:ascii="Arial" w:cs="Arial" w:eastAsia="Arial" w:hAnsi="Arial"/>
          <w:b/>
          <w:bCs/>
          <w:i w:val="false"/>
          <w:iCs w:val="false"/>
          <w:color w:val="2E5090"/>
          <w:sz w:val="28"/>
          <w:szCs w:val="28"/>
        </w:rPr>
        <w:t xml:space="preserve">2.2 Expenditure by Economic Class</w:t>
      </w:r>
    </w:p>
    <w:p>
      <w:pPr>
        <w:spacing w:after="80" w:before="0" w:line="276"/>
        <w:jc w:val="both"/>
      </w:pPr>
      <w:r>
        <w:rPr>
          <w:rFonts w:ascii="Arial" w:cs="Arial" w:eastAsia="Arial" w:hAnsi="Arial"/>
          <w:b/>
          <w:bCs/>
          <w:i w:val="false"/>
          <w:iCs w:val="false"/>
          <w:color w:val="333333"/>
          <w:sz w:val="18"/>
          <w:szCs w:val="18"/>
        </w:rPr>
        <w:t xml:space="preserve">Table 3. Expenditure by Economic Class, Fiscal Year 1958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Category</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Total</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Gastos de Operación</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110.3</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59.7%</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Salarios Permanentes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72.9</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39.5%</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Otros Servicios Personales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11.3</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6.1%</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Servicios No Personales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10.4</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5.6%</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Materiales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8.0</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Gratificaciones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7.7</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4.2%</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Gastos de Capital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22.1</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12.0%</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Equipo</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6.2</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Propiedad</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16.0</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8.6%</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Subvenciones y Subsidios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31.4</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17.0%</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Clases Pasivas y Cotizaciones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Deuda Pública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2.1%</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Egresos que no Representan Gastos</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4.1</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2.2%</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184.7</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100.0%</w:t>
            </w:r>
          </w:p>
        </w:tc>
      </w:tr>
    </w:tbl>
    <w:p>
      <w:pPr>
        <w:spacing w:after="200" w:before="40" w:line="276"/>
        <w:jc w:val="both"/>
      </w:pPr>
      <w:r>
        <w:rPr>
          <w:rFonts w:ascii="Arial" w:cs="Arial" w:eastAsia="Arial" w:hAnsi="Arial"/>
          <w:b w:val="false"/>
          <w:bCs w:val="false"/>
          <w:i/>
          <w:iCs/>
          <w:color w:val="333333"/>
          <w:sz w:val="16"/>
          <w:szCs w:val="16"/>
        </w:rPr>
        <w:t xml:space="preserve">Source: Part A, Estado No. 4.</w:t>
      </w:r>
    </w:p>
    <w:p>
      <w:pPr>
        <w:spacing w:after="160" w:before="0" w:line="276"/>
        <w:jc w:val="both"/>
      </w:pPr>
      <w:r>
        <w:rPr>
          <w:rFonts w:ascii="Arial" w:cs="Arial" w:eastAsia="Arial" w:hAnsi="Arial"/>
          <w:b w:val="false"/>
          <w:bCs w:val="false"/>
          <w:i w:val="false"/>
          <w:iCs w:val="false"/>
          <w:color w:val="333333"/>
          <w:sz w:val="22"/>
          <w:szCs w:val="22"/>
        </w:rPr>
        <w:t xml:space="preserve">The wage bill (Salarios Permanentes + Otros Servicios Personales) was </w:t>
      </w:r>
      <w:r>
        <w:rPr>
          <w:rFonts w:ascii="Arial" w:cs="Arial" w:eastAsia="Arial" w:hAnsi="Arial"/>
          <w:b/>
          <w:bCs/>
          <w:i w:val="false"/>
          <w:iCs w:val="false"/>
          <w:color w:val="333333"/>
          <w:sz w:val="22"/>
          <w:szCs w:val="22"/>
        </w:rPr>
        <w:t xml:space="preserve">₡84.2 million or 45.6%</w:t>
      </w:r>
      <w:r>
        <w:rPr>
          <w:rFonts w:ascii="Arial" w:cs="Arial" w:eastAsia="Arial" w:hAnsi="Arial"/>
          <w:b w:val="false"/>
          <w:bCs w:val="false"/>
          <w:i w:val="false"/>
          <w:iCs w:val="false"/>
          <w:color w:val="333333"/>
          <w:sz w:val="22"/>
          <w:szCs w:val="22"/>
        </w:rPr>
        <w:t xml:space="preserve"> of total expenditure. In absolute terms, the wage bill </w:t>
      </w:r>
      <w:r>
        <w:rPr>
          <w:rFonts w:ascii="Arial" w:cs="Arial" w:eastAsia="Arial" w:hAnsi="Arial"/>
          <w:b/>
          <w:bCs/>
          <w:i w:val="false"/>
          <w:iCs w:val="false"/>
          <w:color w:val="333333"/>
          <w:sz w:val="22"/>
          <w:szCs w:val="22"/>
        </w:rPr>
        <w:t xml:space="preserve">rose</w:t>
      </w:r>
      <w:r>
        <w:rPr>
          <w:rFonts w:ascii="Arial" w:cs="Arial" w:eastAsia="Arial" w:hAnsi="Arial"/>
          <w:b w:val="false"/>
          <w:bCs w:val="false"/>
          <w:i w:val="false"/>
          <w:iCs w:val="false"/>
          <w:color w:val="333333"/>
          <w:sz w:val="22"/>
          <w:szCs w:val="22"/>
        </w:rPr>
        <w:t xml:space="preserve"> from approximately ₡80.6M (1957) to ₡84.2M — a 4.5% increase even as revenue fell 11.5%. This is the rigidity trap in action: the payroll grew while the revenue base contracted.</w:t>
      </w:r>
    </w:p>
    <w:p>
      <w:pPr>
        <w:pStyle w:val="Heading2"/>
        <w:spacing w:after="160" w:before="300" w:line="276"/>
        <w:jc w:val="both"/>
      </w:pPr>
      <w:r>
        <w:rPr>
          <w:rFonts w:ascii="Arial" w:cs="Arial" w:eastAsia="Arial" w:hAnsi="Arial"/>
          <w:b/>
          <w:bCs/>
          <w:i w:val="false"/>
          <w:iCs w:val="false"/>
          <w:color w:val="2E5090"/>
          <w:sz w:val="28"/>
          <w:szCs w:val="28"/>
        </w:rPr>
        <w:t xml:space="preserve">2.3 Expenditure by Ministry (Functional Allocation)</w:t>
      </w:r>
    </w:p>
    <w:p>
      <w:pPr>
        <w:spacing w:after="80" w:before="0" w:line="276"/>
        <w:jc w:val="both"/>
      </w:pPr>
      <w:r>
        <w:rPr>
          <w:rFonts w:ascii="Arial" w:cs="Arial" w:eastAsia="Arial" w:hAnsi="Arial"/>
          <w:b/>
          <w:bCs/>
          <w:i w:val="false"/>
          <w:iCs w:val="false"/>
          <w:color w:val="333333"/>
          <w:sz w:val="18"/>
          <w:szCs w:val="18"/>
        </w:rPr>
        <w:t xml:space="preserve">Table 4. Expenditure by Ministry (Ramo), Fiscal Year 1958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Ramo (Ministry/Branch)</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Total</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Deuda Pública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32.3</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Cultura Popular (Education)</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28.6</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Defensa Nacional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19.0</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10.3%</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Obras Públicas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18.6</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10.1%</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Economía</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13.4</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7.3%</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Hacienda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12.9</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Gobernación</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11.5</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Presidencia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8.2</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Clases Pasivas y Seguro Social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Justicia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Salud Pública y Asistencia Social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2.7%</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Relaciones Exteriores</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Trabajo y Previsión Social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Agricultura y Ganadería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Other (Legislativo, Corte, etc.)</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12.0</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6.5%</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184.7</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100.0%</w:t>
            </w:r>
          </w:p>
        </w:tc>
      </w:tr>
    </w:tbl>
    <w:p>
      <w:pPr>
        <w:spacing w:after="200" w:before="40" w:line="276"/>
        <w:jc w:val="both"/>
      </w:pPr>
      <w:r>
        <w:rPr>
          <w:rFonts w:ascii="Arial" w:cs="Arial" w:eastAsia="Arial" w:hAnsi="Arial"/>
          <w:b w:val="false"/>
          <w:bCs w:val="false"/>
          <w:i/>
          <w:iCs/>
          <w:color w:val="333333"/>
          <w:sz w:val="16"/>
          <w:szCs w:val="16"/>
        </w:rPr>
        <w:t xml:space="preserve">Source: Part A, p. 21.</w:t>
      </w:r>
    </w:p>
    <w:p>
      <w:pPr>
        <w:spacing w:after="160" w:before="0" w:line="276"/>
        <w:jc w:val="both"/>
      </w:pPr>
      <w:r>
        <w:rPr>
          <w:rFonts w:ascii="Arial" w:cs="Arial" w:eastAsia="Arial" w:hAnsi="Arial"/>
          <w:b w:val="false"/>
          <w:bCs w:val="false"/>
          <w:i w:val="false"/>
          <w:iCs w:val="false"/>
          <w:color w:val="333333"/>
          <w:sz w:val="22"/>
          <w:szCs w:val="22"/>
        </w:rPr>
        <w:t xml:space="preserve">The most striking feature of the functional allocation is that </w:t>
      </w:r>
      <w:r>
        <w:rPr>
          <w:rFonts w:ascii="Arial" w:cs="Arial" w:eastAsia="Arial" w:hAnsi="Arial"/>
          <w:b/>
          <w:bCs/>
          <w:i w:val="false"/>
          <w:iCs w:val="false"/>
          <w:color w:val="333333"/>
          <w:sz w:val="22"/>
          <w:szCs w:val="22"/>
        </w:rPr>
        <w:t xml:space="preserve">Deuda Pública became the single largest spending category at 17.5%</w:t>
      </w:r>
      <w:r>
        <w:rPr>
          <w:rFonts w:ascii="Arial" w:cs="Arial" w:eastAsia="Arial" w:hAnsi="Arial"/>
          <w:b w:val="false"/>
          <w:bCs w:val="false"/>
          <w:i w:val="false"/>
          <w:iCs w:val="false"/>
          <w:color w:val="333333"/>
          <w:sz w:val="22"/>
          <w:szCs w:val="22"/>
        </w:rPr>
        <w:t xml:space="preserve">, displacing Education (15.5%) and Obras Públicas (10.1%). The debt line at ₡32.3M was far larger than the ₡3.8M in the economic classification’s Deuda Pública line (₡4.0M) — suggesting that the ramo-level figure includes both the direct debt service and associated fund transfers, possibly including the ₡2M annual BCR transfer for the 1922 loan and IBRD-related disbursements.</w:t>
      </w:r>
    </w:p>
    <w:p>
      <w:pPr>
        <w:spacing w:after="160" w:before="0" w:line="276"/>
        <w:jc w:val="both"/>
      </w:pPr>
      <w:r>
        <w:rPr>
          <w:rFonts w:ascii="Arial" w:cs="Arial" w:eastAsia="Arial" w:hAnsi="Arial"/>
          <w:b w:val="false"/>
          <w:bCs w:val="false"/>
          <w:i w:val="false"/>
          <w:iCs w:val="false"/>
          <w:color w:val="333333"/>
          <w:sz w:val="22"/>
          <w:szCs w:val="22"/>
        </w:rPr>
        <w:t xml:space="preserve">Health spending declined to 2.7% — a sharp drop from the 9.7% recorded in the biennial. This may reflect reclassification or a genuine cut under fiscal pressure. Obras Públicas also fell from 17.65% (1957) to 10.1%, consistent with the pattern predicted by the rigidity analysis: when revenue falls, flexible capital spending absorbs the adjustment.</w:t>
      </w:r>
    </w:p>
    <w:p>
      <w:pPr>
        <w:pStyle w:val="Heading2"/>
        <w:spacing w:after="160" w:before="300" w:line="276"/>
        <w:jc w:val="both"/>
      </w:pPr>
      <w:r>
        <w:rPr>
          <w:rFonts w:ascii="Arial" w:cs="Arial" w:eastAsia="Arial" w:hAnsi="Arial"/>
          <w:b/>
          <w:bCs/>
          <w:i w:val="false"/>
          <w:iCs w:val="false"/>
          <w:color w:val="2E5090"/>
          <w:sz w:val="28"/>
          <w:szCs w:val="28"/>
        </w:rPr>
        <w:t xml:space="preserve">2.4 Consolidated Security Spending</w:t>
      </w:r>
    </w:p>
    <w:p>
      <w:pPr>
        <w:spacing w:after="80" w:before="0" w:line="276"/>
        <w:jc w:val="both"/>
      </w:pPr>
      <w:r>
        <w:rPr>
          <w:rFonts w:ascii="Arial" w:cs="Arial" w:eastAsia="Arial" w:hAnsi="Arial"/>
          <w:b/>
          <w:bCs/>
          <w:i w:val="false"/>
          <w:iCs w:val="false"/>
          <w:color w:val="333333"/>
          <w:sz w:val="18"/>
          <w:szCs w:val="18"/>
        </w:rPr>
        <w:t xml:space="preserve">Table 5. Consolidated Security Spending, Fiscal Year 1958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Component</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Amount (₡M)</w:t>
            </w:r>
          </w:p>
        </w:tc>
        <w:tc>
          <w:tcPr>
            <w:tcW w:type="dxa" w:w="25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of Total Expend.</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Defensa Nacional</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19.0</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10.3%</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Seguridad Pública*</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~13.0</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~7.0%</w:t>
            </w:r>
          </w:p>
        </w:tc>
      </w:tr>
      <w:tr>
        <w:tc>
          <w:tcPr>
            <w:tcW w:type="dxa" w:w="4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Gobernación (security est. ~50%)</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~5.8</w:t>
            </w:r>
          </w:p>
        </w:tc>
        <w:tc>
          <w:tcPr>
            <w:tcW w:type="dxa" w:w="258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w:t>
            </w:r>
          </w:p>
        </w:tc>
      </w:tr>
      <w:tr>
        <w:tc>
          <w:tcPr>
            <w:tcW w:type="dxa" w:w="4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Consolidated Security</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~37.8</w:t>
            </w:r>
          </w:p>
        </w:tc>
        <w:tc>
          <w:tcPr>
            <w:tcW w:type="dxa" w:w="258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~20.4%</w:t>
            </w:r>
          </w:p>
        </w:tc>
      </w:tr>
    </w:tbl>
    <w:p>
      <w:pPr>
        <w:spacing w:after="200" w:before="40" w:line="276"/>
        <w:jc w:val="both"/>
      </w:pPr>
      <w:r>
        <w:rPr>
          <w:rFonts w:ascii="Arial" w:cs="Arial" w:eastAsia="Arial" w:hAnsi="Arial"/>
          <w:b w:val="false"/>
          <w:bCs w:val="false"/>
          <w:i/>
          <w:iCs/>
          <w:color w:val="333333"/>
          <w:sz w:val="16"/>
          <w:szCs w:val="16"/>
        </w:rPr>
        <w:t xml:space="preserve">*Seguridad Pública figure from Part A ramo totals appears anomalously low (₡30,619); the estimate uses the Estado No. 5 resumen figure and prior-year patterns. Precise figure requires detailed Estado No. 5 for current year.</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3. Public Debt</w:t>
      </w:r>
    </w:p>
    <w:p>
      <w:pPr>
        <w:pStyle w:val="Heading2"/>
        <w:spacing w:after="160" w:before="300" w:line="276"/>
        <w:jc w:val="both"/>
      </w:pPr>
      <w:r>
        <w:rPr>
          <w:rFonts w:ascii="Arial" w:cs="Arial" w:eastAsia="Arial" w:hAnsi="Arial"/>
          <w:b/>
          <w:bCs/>
          <w:i w:val="false"/>
          <w:iCs w:val="false"/>
          <w:color w:val="2E5090"/>
          <w:sz w:val="28"/>
          <w:szCs w:val="28"/>
        </w:rPr>
        <w:t xml:space="preserve">3.1 Debt Stock</w:t>
      </w:r>
    </w:p>
    <w:p>
      <w:pPr>
        <w:spacing w:after="160" w:before="0" w:line="276"/>
        <w:jc w:val="both"/>
      </w:pPr>
      <w:r>
        <w:rPr>
          <w:rFonts w:ascii="Arial" w:cs="Arial" w:eastAsia="Arial" w:hAnsi="Arial"/>
          <w:b w:val="false"/>
          <w:bCs w:val="false"/>
          <w:i w:val="false"/>
          <w:iCs w:val="false"/>
          <w:color w:val="333333"/>
          <w:sz w:val="22"/>
          <w:szCs w:val="22"/>
        </w:rPr>
        <w:t xml:space="preserve">Total public debt at December 31, 1958 was approximately </w:t>
      </w:r>
      <w:r>
        <w:rPr>
          <w:rFonts w:ascii="Arial" w:cs="Arial" w:eastAsia="Arial" w:hAnsi="Arial"/>
          <w:b/>
          <w:bCs/>
          <w:i w:val="false"/>
          <w:iCs w:val="false"/>
          <w:color w:val="333333"/>
          <w:sz w:val="22"/>
          <w:szCs w:val="22"/>
        </w:rPr>
        <w:t xml:space="preserve">₡45.2 million</w:t>
      </w:r>
      <w:r>
        <w:rPr>
          <w:rFonts w:ascii="Arial" w:cs="Arial" w:eastAsia="Arial" w:hAnsi="Arial"/>
          <w:b w:val="false"/>
          <w:bCs w:val="false"/>
          <w:i w:val="false"/>
          <w:iCs w:val="false"/>
          <w:color w:val="333333"/>
          <w:sz w:val="22"/>
          <w:szCs w:val="22"/>
        </w:rPr>
        <w:t xml:space="preserve"> — essentially stable relative to end-1957 (₡42.6M), with modest net repayment of approximately ₡70,537 during the year. The stabilization reflected the fact that the major IBRD disbursement phase (which had doubled the stock in 1956–1957) was concluding, while amortization of the 1922 loan and other instruments continued.</w:t>
      </w:r>
    </w:p>
    <w:p>
      <w:pPr>
        <w:pStyle w:val="Heading2"/>
        <w:spacing w:after="160" w:before="300" w:line="276"/>
        <w:jc w:val="both"/>
      </w:pPr>
      <w:r>
        <w:rPr>
          <w:rFonts w:ascii="Arial" w:cs="Arial" w:eastAsia="Arial" w:hAnsi="Arial"/>
          <w:b/>
          <w:bCs/>
          <w:i w:val="false"/>
          <w:iCs w:val="false"/>
          <w:color w:val="2E5090"/>
          <w:sz w:val="28"/>
          <w:szCs w:val="28"/>
        </w:rPr>
        <w:t xml:space="preserve">3.2 The Empréstito Nacional de 1922: 36 Years</w:t>
      </w:r>
    </w:p>
    <w:p>
      <w:pPr>
        <w:spacing w:after="160" w:before="0" w:line="276"/>
        <w:jc w:val="both"/>
      </w:pPr>
      <w:r>
        <w:rPr>
          <w:rFonts w:ascii="Arial" w:cs="Arial" w:eastAsia="Arial" w:hAnsi="Arial"/>
          <w:b w:val="false"/>
          <w:bCs w:val="false"/>
          <w:i w:val="false"/>
          <w:iCs w:val="false"/>
          <w:color w:val="333333"/>
          <w:sz w:val="22"/>
          <w:szCs w:val="22"/>
        </w:rPr>
        <w:t xml:space="preserve">Amortization of the 1922 loan during 1958 totaled ₡1,453,426.27 — the largest single amortization item. The outstanding stock declined across all bond series. The holdout bondholders from the 1933/1936 restructuring (Series A, B, and C “no anuentes”) continued to appear on the books, 25 years after the original restructuring and 36 years after the loan’s contraction.</w:t>
      </w:r>
    </w:p>
    <w:p>
      <w:pPr>
        <w:spacing w:after="160" w:before="0" w:line="276"/>
        <w:jc w:val="both"/>
      </w:pPr>
      <w:r>
        <w:rPr>
          <w:rFonts w:ascii="Arial" w:cs="Arial" w:eastAsia="Arial" w:hAnsi="Arial"/>
          <w:b w:val="false"/>
          <w:bCs w:val="false"/>
          <w:i w:val="false"/>
          <w:iCs w:val="false"/>
          <w:color w:val="333333"/>
          <w:sz w:val="22"/>
          <w:szCs w:val="22"/>
        </w:rPr>
        <w:t xml:space="preserve">Bonds and coupons pending exchange at the BCR at end-1958: $119,568.00 in dollars and £14,043-12-0 in sterling (₡397,225.20 total in colones). These represented the residual physical certificates that had not yet been presented for redemption or exchange.</w:t>
      </w:r>
    </w:p>
    <w:p>
      <w:pPr>
        <w:pStyle w:val="Heading2"/>
        <w:spacing w:after="160" w:before="300" w:line="276"/>
        <w:jc w:val="both"/>
      </w:pPr>
      <w:r>
        <w:rPr>
          <w:rFonts w:ascii="Arial" w:cs="Arial" w:eastAsia="Arial" w:hAnsi="Arial"/>
          <w:b/>
          <w:bCs/>
          <w:i w:val="false"/>
          <w:iCs w:val="false"/>
          <w:color w:val="2E5090"/>
          <w:sz w:val="28"/>
          <w:szCs w:val="28"/>
        </w:rPr>
        <w:t xml:space="preserve">3.3 The IBRD Carretera del Litoral</w:t>
      </w:r>
    </w:p>
    <w:p>
      <w:pPr>
        <w:spacing w:after="160" w:before="0" w:line="276"/>
        <w:jc w:val="both"/>
      </w:pPr>
      <w:r>
        <w:rPr>
          <w:rFonts w:ascii="Arial" w:cs="Arial" w:eastAsia="Arial" w:hAnsi="Arial"/>
          <w:b w:val="false"/>
          <w:bCs w:val="false"/>
          <w:i w:val="false"/>
          <w:iCs w:val="false"/>
          <w:color w:val="333333"/>
          <w:sz w:val="22"/>
          <w:szCs w:val="22"/>
        </w:rPr>
        <w:t xml:space="preserve">The IBRD loan stock stabilized at approximately ₡21.3M — essentially unchanged from end-1957. The construction phase appeared to be nearing completion or entering a slower disbursement phase. However, the annual interest obligations (₡330,000+ per year) were now a permanent feature of the debt service landscape.</w:t>
      </w:r>
    </w:p>
    <w:p>
      <w:pPr>
        <w:pStyle w:val="Heading2"/>
        <w:spacing w:after="160" w:before="300" w:line="276"/>
        <w:jc w:val="both"/>
      </w:pPr>
      <w:r>
        <w:rPr>
          <w:rFonts w:ascii="Arial" w:cs="Arial" w:eastAsia="Arial" w:hAnsi="Arial"/>
          <w:b/>
          <w:bCs/>
          <w:i w:val="false"/>
          <w:iCs w:val="false"/>
          <w:color w:val="2E5090"/>
          <w:sz w:val="28"/>
          <w:szCs w:val="28"/>
        </w:rPr>
        <w:t xml:space="preserve">3.4 Valle de La Esperanza</w:t>
      </w:r>
    </w:p>
    <w:p>
      <w:pPr>
        <w:spacing w:after="160" w:before="0" w:line="276"/>
        <w:jc w:val="both"/>
      </w:pPr>
      <w:r>
        <w:rPr>
          <w:rFonts w:ascii="Arial" w:cs="Arial" w:eastAsia="Arial" w:hAnsi="Arial"/>
          <w:b w:val="false"/>
          <w:bCs w:val="false"/>
          <w:i w:val="false"/>
          <w:iCs w:val="false"/>
          <w:color w:val="333333"/>
          <w:sz w:val="22"/>
          <w:szCs w:val="22"/>
        </w:rPr>
        <w:t xml:space="preserve">Amortization of ₡290,000 during the year reduced the outstanding bonds to approximately ₡7,585,000 (from ₡7,875,000). The authorized ceiling was ₡11,150,000, with ₡8,160,000 issued to date. Available saldos: ₡3,392,456.93.</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4. Balance Sheet and Financial Position</w:t>
      </w:r>
    </w:p>
    <w:p>
      <w:pPr>
        <w:spacing w:after="80" w:before="0" w:line="276"/>
        <w:jc w:val="both"/>
      </w:pPr>
      <w:r>
        <w:rPr>
          <w:rFonts w:ascii="Arial" w:cs="Arial" w:eastAsia="Arial" w:hAnsi="Arial"/>
          <w:b/>
          <w:bCs/>
          <w:i w:val="false"/>
          <w:iCs w:val="false"/>
          <w:color w:val="333333"/>
          <w:sz w:val="18"/>
          <w:szCs w:val="18"/>
        </w:rPr>
        <w:t xml:space="preserve">Table 6. Fiscal Balance Summary, 1957 vs. 1958</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1700"/>
      </w:tblGrid>
      <w:tr>
        <w:tc>
          <w:tcPr>
            <w:tcW w:type="dxa" w:w="3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Revenue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189.5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167.7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−21.8</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Expenditure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169.0</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184.7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Headline Balance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−17.0</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DEFICIT</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Superávit Financiero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45.7</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31.2</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−14.5</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Activo Circulante (₡M)</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88.6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73.9</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−14.7</w:t>
            </w:r>
          </w:p>
        </w:tc>
      </w:tr>
      <w:tr>
        <w:tc>
          <w:tcPr>
            <w:tcW w:type="dxa" w:w="3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Pasivo Circulante (₡M)</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31.6</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29.1</w:t>
            </w:r>
          </w:p>
        </w:tc>
        <w:tc>
          <w:tcPr>
            <w:tcW w:type="dxa" w:w="17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w:t>
            </w:r>
          </w:p>
        </w:tc>
      </w:tr>
    </w:tbl>
    <w:p>
      <w:pPr>
        <w:spacing w:after="200" w:before="40" w:line="276"/>
        <w:jc w:val="both"/>
      </w:pPr>
      <w:r>
        <w:rPr>
          <w:rFonts w:ascii="Arial" w:cs="Arial" w:eastAsia="Arial" w:hAnsi="Arial"/>
          <w:b w:val="false"/>
          <w:bCs w:val="false"/>
          <w:i/>
          <w:iCs/>
          <w:color w:val="333333"/>
          <w:sz w:val="16"/>
          <w:szCs w:val="16"/>
        </w:rPr>
        <w:t xml:space="preserve">Source: Part A, Sections II–IV.</w:t>
      </w:r>
    </w:p>
    <w:p>
      <w:pPr>
        <w:spacing w:after="160" w:before="0" w:line="276"/>
        <w:jc w:val="both"/>
      </w:pPr>
      <w:r>
        <w:rPr>
          <w:rFonts w:ascii="Arial" w:cs="Arial" w:eastAsia="Arial" w:hAnsi="Arial"/>
          <w:b w:val="false"/>
          <w:bCs w:val="false"/>
          <w:i w:val="false"/>
          <w:iCs w:val="false"/>
          <w:color w:val="333333"/>
          <w:sz w:val="22"/>
          <w:szCs w:val="22"/>
        </w:rPr>
        <w:t xml:space="preserve">The Superávit Financiero fell from ₡45.7M to ₡31.2M — a decline of ₡14.5 million in a single year. The government was </w:t>
      </w:r>
      <w:r>
        <w:rPr>
          <w:rFonts w:ascii="Arial" w:cs="Arial" w:eastAsia="Arial" w:hAnsi="Arial"/>
          <w:b/>
          <w:bCs/>
          <w:i w:val="false"/>
          <w:iCs w:val="false"/>
          <w:color w:val="333333"/>
          <w:sz w:val="22"/>
          <w:szCs w:val="22"/>
        </w:rPr>
        <w:t xml:space="preserve">burning through accumulated surpluses</w:t>
      </w:r>
      <w:r>
        <w:rPr>
          <w:rFonts w:ascii="Arial" w:cs="Arial" w:eastAsia="Arial" w:hAnsi="Arial"/>
          <w:b w:val="false"/>
          <w:bCs w:val="false"/>
          <w:i w:val="false"/>
          <w:iCs w:val="false"/>
          <w:color w:val="333333"/>
          <w:sz w:val="22"/>
          <w:szCs w:val="22"/>
        </w:rPr>
        <w:t xml:space="preserve"> to finance the gap between rigid expenditure and declining revenue. At this rate of consumption, the surplus buffer — built up over the boom years — would be exhausted within 2–3 years.</w:t>
      </w:r>
    </w:p>
    <w:p>
      <w:pPr>
        <w:pStyle w:val="Heading1"/>
        <w:spacing w:after="200" w:before="360" w:line="276"/>
        <w:jc w:val="both"/>
      </w:pPr>
      <w:r>
        <w:rPr>
          <w:rFonts w:ascii="Arial" w:cs="Arial" w:eastAsia="Arial" w:hAnsi="Arial"/>
          <w:b/>
          <w:bCs/>
          <w:i w:val="false"/>
          <w:iCs w:val="false"/>
          <w:color w:val="1F3864"/>
          <w:sz w:val="32"/>
          <w:szCs w:val="32"/>
        </w:rPr>
        <w:t xml:space="preserve">5. Extraordinary Budgets and Special Funds</w:t>
      </w:r>
    </w:p>
    <w:p>
      <w:pPr>
        <w:spacing w:after="160" w:before="0" w:line="276"/>
        <w:jc w:val="both"/>
      </w:pPr>
      <w:r>
        <w:rPr>
          <w:rFonts w:ascii="Arial" w:cs="Arial" w:eastAsia="Arial" w:hAnsi="Arial"/>
          <w:b/>
          <w:bCs/>
          <w:i w:val="false"/>
          <w:iCs w:val="false"/>
          <w:color w:val="333333"/>
          <w:sz w:val="22"/>
          <w:szCs w:val="22"/>
        </w:rPr>
        <w:t xml:space="preserve">Empréstito Interno de Aprovisionamiento: </w:t>
      </w:r>
      <w:r>
        <w:rPr>
          <w:rFonts w:ascii="Arial" w:cs="Arial" w:eastAsia="Arial" w:hAnsi="Arial"/>
          <w:b w:val="false"/>
          <w:bCs w:val="false"/>
          <w:i w:val="false"/>
          <w:iCs w:val="false"/>
          <w:color w:val="333333"/>
          <w:sz w:val="22"/>
          <w:szCs w:val="22"/>
        </w:rPr>
        <w:t xml:space="preserve">Authorized ₡9,984,586.94 utilized against ₡10,000,001.00 authorized. Saldo: ₡15,414.06. Effectively liquidated.</w:t>
      </w:r>
    </w:p>
    <w:p>
      <w:pPr>
        <w:spacing w:after="160" w:before="0" w:line="276"/>
        <w:jc w:val="both"/>
      </w:pPr>
      <w:r>
        <w:rPr>
          <w:rFonts w:ascii="Arial" w:cs="Arial" w:eastAsia="Arial" w:hAnsi="Arial"/>
          <w:b/>
          <w:bCs/>
          <w:i w:val="false"/>
          <w:iCs w:val="false"/>
          <w:color w:val="333333"/>
          <w:sz w:val="22"/>
          <w:szCs w:val="22"/>
        </w:rPr>
        <w:t xml:space="preserve">Valle de La Esperanza: </w:t>
      </w:r>
      <w:r>
        <w:rPr>
          <w:rFonts w:ascii="Arial" w:cs="Arial" w:eastAsia="Arial" w:hAnsi="Arial"/>
          <w:b w:val="false"/>
          <w:bCs w:val="false"/>
          <w:i w:val="false"/>
          <w:iCs w:val="false"/>
          <w:color w:val="333333"/>
          <w:sz w:val="22"/>
          <w:szCs w:val="22"/>
        </w:rPr>
        <w:t xml:space="preserve">Authorized ₡7,588,475.94; utilized ₡7,757,544.07; saldo disponible ₡3,392,456.93. Bonds outstanding ₡8,160,000 of ₡11,150,000 authorized.</w:t>
      </w:r>
    </w:p>
    <w:p>
      <w:pPr>
        <w:spacing w:after="160" w:before="0" w:line="276"/>
        <w:jc w:val="both"/>
      </w:pPr>
      <w:r>
        <w:rPr>
          <w:rFonts w:ascii="Arial" w:cs="Arial" w:eastAsia="Arial" w:hAnsi="Arial"/>
          <w:b/>
          <w:bCs/>
          <w:i w:val="false"/>
          <w:iCs w:val="false"/>
          <w:color w:val="333333"/>
          <w:sz w:val="22"/>
          <w:szCs w:val="22"/>
        </w:rPr>
        <w:t xml:space="preserve">Camino Interamericano: </w:t>
      </w:r>
      <w:r>
        <w:rPr>
          <w:rFonts w:ascii="Arial" w:cs="Arial" w:eastAsia="Arial" w:hAnsi="Arial"/>
          <w:b w:val="false"/>
          <w:bCs w:val="false"/>
          <w:i w:val="false"/>
          <w:iCs w:val="false"/>
          <w:color w:val="333333"/>
          <w:sz w:val="22"/>
          <w:szCs w:val="22"/>
        </w:rPr>
        <w:t xml:space="preserve">Construction fund with three-way cost sharing (Government of El Salvador, US Government, Pan-American Highway). Asignaciones autorizadas ₡1,172,438.33; utilized ₡1,173,194.58.</w:t>
      </w:r>
    </w:p>
    <w:p>
      <w:pPr>
        <w:spacing w:after="160" w:before="0" w:line="276"/>
        <w:jc w:val="both"/>
      </w:pPr>
      <w:r>
        <w:rPr>
          <w:rFonts w:ascii="Arial" w:cs="Arial" w:eastAsia="Arial" w:hAnsi="Arial"/>
          <w:b/>
          <w:bCs/>
          <w:i w:val="false"/>
          <w:iCs w:val="false"/>
          <w:color w:val="333333"/>
          <w:sz w:val="22"/>
          <w:szCs w:val="22"/>
        </w:rPr>
        <w:t xml:space="preserve">Proveeduría General: </w:t>
      </w:r>
      <w:r>
        <w:rPr>
          <w:rFonts w:ascii="Arial" w:cs="Arial" w:eastAsia="Arial" w:hAnsi="Arial"/>
          <w:b w:val="false"/>
          <w:bCs w:val="false"/>
          <w:i w:val="false"/>
          <w:iCs w:val="false"/>
          <w:color w:val="333333"/>
          <w:sz w:val="22"/>
          <w:szCs w:val="22"/>
        </w:rPr>
        <w:t xml:space="preserve">Revenue from merchandise sales ₡1,093,348.51. Total credits utilized ₡1,055,549.17.</w:t>
      </w:r>
    </w:p>
    <w:p>
      <w:r>
        <w:br w:type="page"/>
      </w:r>
    </w:p>
    <w:p>
      <w:pPr>
        <w:pStyle w:val="Heading1"/>
        <w:spacing w:after="200" w:before="360" w:line="276"/>
        <w:jc w:val="both"/>
      </w:pPr>
      <w:r>
        <w:rPr>
          <w:rFonts w:ascii="Arial" w:cs="Arial" w:eastAsia="Arial" w:hAnsi="Arial"/>
          <w:b/>
          <w:bCs/>
          <w:i w:val="false"/>
          <w:iCs w:val="false"/>
          <w:color w:val="1F3864"/>
          <w:sz w:val="32"/>
          <w:szCs w:val="32"/>
        </w:rPr>
        <w:t xml:space="preserve">6. Comparative Analysis: 1952–1958 Trajectory</w:t>
      </w:r>
    </w:p>
    <w:p>
      <w:pPr>
        <w:spacing w:after="80" w:before="0" w:line="276"/>
        <w:jc w:val="both"/>
      </w:pPr>
      <w:r>
        <w:rPr>
          <w:rFonts w:ascii="Arial" w:cs="Arial" w:eastAsia="Arial" w:hAnsi="Arial"/>
          <w:b/>
          <w:bCs/>
          <w:i w:val="false"/>
          <w:iCs w:val="false"/>
          <w:color w:val="333333"/>
          <w:sz w:val="18"/>
          <w:szCs w:val="18"/>
        </w:rPr>
        <w:t xml:space="preserve">Table 7. Key Fiscal Indicators, 1952–1958</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1200"/>
      </w:tblGrid>
      <w:t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Indicator</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1952</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1954</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1956</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1957</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1958</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135.2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167.4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170.9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189.5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167.7</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Expenditure (₡M)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112.1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142.4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153.0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169.0</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184.7</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Fiscal Balance (₡M)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+25.0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−17.0</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Wage bill (% exp.)</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48.2%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~49%</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47.7%</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45.6%</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Education (% exp.)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15.5%</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Defense (% exp.)</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10.3%</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10.3%</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service (% exp.)</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17.5%*</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bCs/>
                <w:color w:val="333333"/>
                <w:sz w:val="18"/>
                <w:szCs w:val="18"/>
              </w:rPr>
              <w:t xml:space="preserve">Total debt (₡M)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30.6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~26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32.6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42.6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~45.2</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Income tax (% rev.)</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11.1%</w:t>
            </w:r>
          </w:p>
        </w:tc>
      </w:tr>
      <w:tr>
        <w:tc>
          <w:tcPr>
            <w:tcW w:type="dxa" w:w="24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duties (₡M)</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~34</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46.2</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43.5</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54.6</w:t>
            </w:r>
          </w:p>
        </w:tc>
        <w:tc>
          <w:tcPr>
            <w:tcW w:type="dxa" w:w="1200"/>
            <w:tcBorders>
              <w:top w:val="single" w:color="AAAAAA" w:sz="1"/>
              <w:left w:val="single" w:color="AAAAAA" w:sz="1"/>
              <w:bottom w:val="single" w:color="AAAAAA" w:sz="1"/>
              <w:right w:val="single" w:color="AAAAAA" w:sz="1"/>
            </w:tcBorders>
            <w:shd w:fill="EDF2F7"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35.5</w:t>
            </w:r>
          </w:p>
        </w:tc>
      </w:tr>
    </w:tbl>
    <w:p>
      <w:pPr>
        <w:spacing w:after="200" w:before="40" w:line="276"/>
        <w:jc w:val="both"/>
      </w:pPr>
      <w:r>
        <w:rPr>
          <w:rFonts w:ascii="Arial" w:cs="Arial" w:eastAsia="Arial" w:hAnsi="Arial"/>
          <w:b w:val="false"/>
          <w:bCs w:val="false"/>
          <w:i/>
          <w:iCs/>
          <w:color w:val="333333"/>
          <w:sz w:val="16"/>
          <w:szCs w:val="16"/>
        </w:rPr>
        <w:t xml:space="preserve">Source: Memorias de Hacienda 1952–1958. *Debt service by ramo includes fund transfers; economic class shows 2.1%.</w:t>
      </w:r>
    </w:p>
    <w:p>
      <w:pPr>
        <w:spacing w:after="160" w:before="0" w:line="276"/>
        <w:jc w:val="both"/>
      </w:pPr>
      <w:r>
        <w:rPr>
          <w:rFonts w:ascii="Arial" w:cs="Arial" w:eastAsia="Arial" w:hAnsi="Arial"/>
          <w:b w:val="false"/>
          <w:bCs w:val="false"/>
          <w:i w:val="false"/>
          <w:iCs w:val="false"/>
          <w:color w:val="333333"/>
          <w:sz w:val="22"/>
          <w:szCs w:val="22"/>
        </w:rPr>
        <w:t xml:space="preserve">The trajectory reveals the crisis in stark terms: (1) Revenue fell 11.5% while expenditure rose 9.3%, producing the first deficit. (2) Export duties collapsed 35%, confirming the Decreto 836 amplification effect. (3) The income tax provided partial offset (+15.4%) but could not compensate. (4) The surplus buffer began to be consumed. (5) Total debt stabilized but at the elevated post-IBRD level.</w:t>
      </w:r>
    </w:p>
    <w:p>
      <w:pPr>
        <w:pStyle w:val="Heading1"/>
        <w:spacing w:after="200" w:before="360" w:line="276"/>
        <w:jc w:val="both"/>
      </w:pPr>
      <w:r>
        <w:rPr>
          <w:rFonts w:ascii="Arial" w:cs="Arial" w:eastAsia="Arial" w:hAnsi="Arial"/>
          <w:b/>
          <w:bCs/>
          <w:i w:val="false"/>
          <w:iCs w:val="false"/>
          <w:color w:val="1F3864"/>
          <w:sz w:val="32"/>
          <w:szCs w:val="32"/>
        </w:rPr>
        <w:t xml:space="preserve">7. Preliminary Observations</w:t>
      </w:r>
    </w:p>
    <w:p>
      <w:pPr>
        <w:spacing w:after="160" w:before="0" w:line="276"/>
        <w:jc w:val="both"/>
      </w:pPr>
      <w:r>
        <w:rPr>
          <w:rFonts w:ascii="Arial" w:cs="Arial" w:eastAsia="Arial" w:hAnsi="Arial"/>
          <w:b/>
          <w:bCs/>
          <w:i w:val="false"/>
          <w:iCs w:val="false"/>
          <w:color w:val="333333"/>
          <w:sz w:val="22"/>
          <w:szCs w:val="22"/>
        </w:rPr>
        <w:t xml:space="preserve">1. The structural vulnerability materialized. </w:t>
      </w:r>
      <w:r>
        <w:rPr>
          <w:rFonts w:ascii="Arial" w:cs="Arial" w:eastAsia="Arial" w:hAnsi="Arial"/>
          <w:b w:val="false"/>
          <w:bCs w:val="false"/>
          <w:i w:val="false"/>
          <w:iCs w:val="false"/>
          <w:color w:val="333333"/>
          <w:sz w:val="22"/>
          <w:szCs w:val="22"/>
        </w:rPr>
        <w:t xml:space="preserve">Every prior diagnostic warned that a coffee price decline would produce a fiscal crisis. In 1958 it happened: export duties fell 35%, total revenue fell 11.5%, and for the first time expenditure exceeded revenue. The absence of a stabilization fund, a countercyclical fiscal rule, or a diversified tax base left the government fully exposed.</w:t>
      </w:r>
    </w:p>
    <w:p>
      <w:pPr>
        <w:spacing w:after="160" w:before="0" w:line="276"/>
        <w:jc w:val="both"/>
      </w:pPr>
      <w:r>
        <w:rPr>
          <w:rFonts w:ascii="Arial" w:cs="Arial" w:eastAsia="Arial" w:hAnsi="Arial"/>
          <w:b/>
          <w:bCs/>
          <w:i w:val="false"/>
          <w:iCs w:val="false"/>
          <w:color w:val="333333"/>
          <w:sz w:val="22"/>
          <w:szCs w:val="22"/>
        </w:rPr>
        <w:t xml:space="preserve">2. The rigidity trap in action. </w:t>
      </w:r>
      <w:r>
        <w:rPr>
          <w:rFonts w:ascii="Arial" w:cs="Arial" w:eastAsia="Arial" w:hAnsi="Arial"/>
          <w:b w:val="false"/>
          <w:bCs w:val="false"/>
          <w:i w:val="false"/>
          <w:iCs w:val="false"/>
          <w:color w:val="333333"/>
          <w:sz w:val="22"/>
          <w:szCs w:val="22"/>
        </w:rPr>
        <w:t xml:space="preserve">Expenditure rose 9.3% even as revenue fell 11.5%. The wage bill increased in absolute terms (₡80.6M → ₡84.2M). The government could not cut the payroll, could not reduce subsidies, and could not default on debt — so it cut investment. Obras Públicas fell from 17.65% to 10.1%. This is exactly the pattern the rigidity hypothesis predicted.</w:t>
      </w:r>
    </w:p>
    <w:p>
      <w:pPr>
        <w:spacing w:after="160" w:before="0" w:line="276"/>
        <w:jc w:val="both"/>
      </w:pPr>
      <w:r>
        <w:rPr>
          <w:rFonts w:ascii="Arial" w:cs="Arial" w:eastAsia="Arial" w:hAnsi="Arial"/>
          <w:b/>
          <w:bCs/>
          <w:i w:val="false"/>
          <w:iCs w:val="false"/>
          <w:color w:val="333333"/>
          <w:sz w:val="22"/>
          <w:szCs w:val="22"/>
        </w:rPr>
        <w:t xml:space="preserve">3. The income tax breakthrough survived the crisis. </w:t>
      </w:r>
      <w:r>
        <w:rPr>
          <w:rFonts w:ascii="Arial" w:cs="Arial" w:eastAsia="Arial" w:hAnsi="Arial"/>
          <w:b w:val="false"/>
          <w:bCs w:val="false"/>
          <w:i w:val="false"/>
          <w:iCs w:val="false"/>
          <w:color w:val="333333"/>
          <w:sz w:val="22"/>
          <w:szCs w:val="22"/>
        </w:rPr>
        <w:t xml:space="preserve">The income tax rose 15.4% to ₡18.6M (11.1% of revenue) even as trade taxes collapsed. This confirms the 1957 improvement was structural. However, the ₡2.5M gain could not offset the ₡19.1M loss in export duties. The income tax’s structural ceiling (5% corporate rate, coffee exemption) prevented it from playing a genuinely countercyclical role.</w:t>
      </w:r>
    </w:p>
    <w:p>
      <w:pPr>
        <w:spacing w:after="160" w:before="0" w:line="276"/>
        <w:jc w:val="both"/>
      </w:pPr>
      <w:r>
        <w:rPr>
          <w:rFonts w:ascii="Arial" w:cs="Arial" w:eastAsia="Arial" w:hAnsi="Arial"/>
          <w:b/>
          <w:bCs/>
          <w:i w:val="false"/>
          <w:iCs w:val="false"/>
          <w:color w:val="333333"/>
          <w:sz w:val="22"/>
          <w:szCs w:val="22"/>
        </w:rPr>
        <w:t xml:space="preserve">4. The surplus buffer is being consumed. </w:t>
      </w:r>
      <w:r>
        <w:rPr>
          <w:rFonts w:ascii="Arial" w:cs="Arial" w:eastAsia="Arial" w:hAnsi="Arial"/>
          <w:b w:val="false"/>
          <w:bCs w:val="false"/>
          <w:i w:val="false"/>
          <w:iCs w:val="false"/>
          <w:color w:val="333333"/>
          <w:sz w:val="22"/>
          <w:szCs w:val="22"/>
        </w:rPr>
        <w:t xml:space="preserve">The Superávit Financiero fell ₡14.5M in one year (from ₡45.7M to ₡31.2M). At this rate, the accumulated surpluses of the boom years would be exhausted by 1960–1961. This timeline coincides with the political crisis that Turcios documents in </w:t>
      </w:r>
      <w:r>
        <w:rPr>
          <w:rFonts w:ascii="Arial" w:cs="Arial" w:eastAsia="Arial" w:hAnsi="Arial"/>
          <w:b w:val="false"/>
          <w:bCs w:val="false"/>
          <w:i/>
          <w:iCs/>
          <w:color w:val="333333"/>
          <w:sz w:val="22"/>
          <w:szCs w:val="22"/>
        </w:rPr>
        <w:t xml:space="preserve">Rebelión</w:t>
      </w:r>
      <w:r>
        <w:rPr>
          <w:rFonts w:ascii="Arial" w:cs="Arial" w:eastAsia="Arial" w:hAnsi="Arial"/>
          <w:b w:val="false"/>
          <w:bCs w:val="false"/>
          <w:i w:val="false"/>
          <w:iCs w:val="false"/>
          <w:color w:val="333333"/>
          <w:sz w:val="22"/>
          <w:szCs w:val="22"/>
        </w:rPr>
        <w:t xml:space="preserve"> — the fiscal pressure and the political crisis were converging.</w:t>
      </w:r>
    </w:p>
    <w:p>
      <w:pPr>
        <w:spacing w:after="160" w:before="0" w:line="276"/>
        <w:jc w:val="both"/>
      </w:pPr>
      <w:r>
        <w:rPr>
          <w:rFonts w:ascii="Arial" w:cs="Arial" w:eastAsia="Arial" w:hAnsi="Arial"/>
          <w:b/>
          <w:bCs/>
          <w:i w:val="false"/>
          <w:iCs w:val="false"/>
          <w:color w:val="333333"/>
          <w:sz w:val="22"/>
          <w:szCs w:val="22"/>
        </w:rPr>
        <w:t xml:space="preserve">5. Debt stabilized but at a high level. </w:t>
      </w:r>
      <w:r>
        <w:rPr>
          <w:rFonts w:ascii="Arial" w:cs="Arial" w:eastAsia="Arial" w:hAnsi="Arial"/>
          <w:b w:val="false"/>
          <w:bCs w:val="false"/>
          <w:i w:val="false"/>
          <w:iCs w:val="false"/>
          <w:color w:val="333333"/>
          <w:sz w:val="22"/>
          <w:szCs w:val="22"/>
        </w:rPr>
        <w:t xml:space="preserve">Total debt at ~₡45.2M was essentially flat, as the IBRD disbursement phase wound down. But the stock was now 78% higher than in 1955, and the annual service obligations were permanent. The 1922 loan continued its slow decline (36 years and counting), while the IBRD loan had become the dominant instrument.</w:t>
      </w:r>
    </w:p>
    <w:p>
      <w:pPr>
        <w:spacing w:after="160" w:before="0" w:line="276"/>
        <w:jc w:val="both"/>
      </w:pPr>
      <w:r>
        <w:rPr>
          <w:rFonts w:ascii="Arial" w:cs="Arial" w:eastAsia="Arial" w:hAnsi="Arial"/>
          <w:b/>
          <w:bCs/>
          <w:i w:val="false"/>
          <w:iCs w:val="false"/>
          <w:color w:val="333333"/>
          <w:sz w:val="22"/>
          <w:szCs w:val="22"/>
        </w:rPr>
        <w:t xml:space="preserve">6. The Deuda Pública ramo anomaly. </w:t>
      </w:r>
      <w:r>
        <w:rPr>
          <w:rFonts w:ascii="Arial" w:cs="Arial" w:eastAsia="Arial" w:hAnsi="Arial"/>
          <w:b w:val="false"/>
          <w:bCs w:val="false"/>
          <w:i w:val="false"/>
          <w:iCs w:val="false"/>
          <w:color w:val="333333"/>
          <w:sz w:val="22"/>
          <w:szCs w:val="22"/>
        </w:rPr>
        <w:t xml:space="preserve">The Deuda Pública ramo accounted for 17.5% of expenditure by functional allocation — by far the largest single category. This likely includes not just direct debt service but also fund transfers and IBRD-related disbursements. Understanding this figure precisely is important for the debt sustainability analysis and requires further investigation in the detailed annexes.</w:t>
      </w:r>
    </w:p>
    <w:p>
      <w:pPr>
        <w:spacing w:after="160" w:before="0" w:line="276"/>
        <w:jc w:val="both"/>
      </w:pPr>
      <w:r>
        <w:rPr>
          <w:rFonts w:ascii="Arial" w:cs="Arial" w:eastAsia="Arial" w:hAnsi="Arial"/>
          <w:b/>
          <w:bCs/>
          <w:i w:val="false"/>
          <w:iCs w:val="false"/>
          <w:color w:val="333333"/>
          <w:sz w:val="22"/>
          <w:szCs w:val="22"/>
        </w:rPr>
        <w:t xml:space="preserve">7. 1958 as a turning point. </w:t>
      </w:r>
      <w:r>
        <w:rPr>
          <w:rFonts w:ascii="Arial" w:cs="Arial" w:eastAsia="Arial" w:hAnsi="Arial"/>
          <w:b w:val="false"/>
          <w:bCs w:val="false"/>
          <w:i w:val="false"/>
          <w:iCs w:val="false"/>
          <w:color w:val="333333"/>
          <w:sz w:val="22"/>
          <w:szCs w:val="22"/>
        </w:rPr>
        <w:t xml:space="preserve">The fiscal model that had sustained the MISI — coffee-driven revenue growth financing developmental expenditure with comfortable surpluses — broke in 1958. From this point forward, the Lemus administration would face the impossible trinity of rigid expenditure, declining revenue, and depleting reserves. The political consequences would unfold over the next two years, culminating in the events that Turcios documents in </w:t>
      </w:r>
      <w:r>
        <w:rPr>
          <w:rFonts w:ascii="Arial" w:cs="Arial" w:eastAsia="Arial" w:hAnsi="Arial"/>
          <w:b w:val="false"/>
          <w:bCs w:val="false"/>
          <w:i/>
          <w:iCs/>
          <w:color w:val="333333"/>
          <w:sz w:val="22"/>
          <w:szCs w:val="22"/>
        </w:rPr>
        <w:t xml:space="preserve">Rebelión: San Salvador 1960</w:t>
      </w:r>
      <w:r>
        <w:rPr>
          <w:rFonts w:ascii="Arial" w:cs="Arial" w:eastAsia="Arial" w:hAnsi="Arial"/>
          <w:b w:val="false"/>
          <w:bCs w:val="false"/>
          <w:i w:val="false"/>
          <w:iCs w:val="false"/>
          <w:color w:val="333333"/>
          <w:sz w:val="22"/>
          <w:szCs w:val="22"/>
        </w:rPr>
        <w:t xml:space="preserve">.</w:t>
      </w:r>
    </w:p>
    <w:p>
      <w:pPr>
        <w:spacing w:before="600"/>
      </w:pPr>
    </w:p>
    <w:p>
      <w:pPr>
        <w:spacing w:after="160" w:before="0" w:line="276"/>
        <w:jc w:val="center"/>
      </w:pPr>
      <w:r>
        <w:rPr>
          <w:rFonts w:ascii="Arial" w:cs="Arial" w:eastAsia="Arial" w:hAnsi="Arial"/>
          <w:b w:val="false"/>
          <w:bCs w:val="false"/>
          <w:i w:val="false"/>
          <w:iCs w:val="false"/>
          <w:color w:val="333333"/>
          <w:sz w:val="20"/>
          <w:szCs w:val="20"/>
        </w:rPr>
        <w:t xml:space="preserve">———</w:t>
      </w:r>
    </w:p>
    <w:p>
      <w:pPr>
        <w:spacing w:after="160" w:before="0" w:line="276"/>
        <w:jc w:val="both"/>
      </w:pPr>
      <w:r>
        <w:rPr>
          <w:rFonts w:ascii="Arial" w:cs="Arial" w:eastAsia="Arial" w:hAnsi="Arial"/>
          <w:b/>
          <w:bCs/>
          <w:i w:val="false"/>
          <w:iCs w:val="false"/>
          <w:color w:val="333333"/>
          <w:sz w:val="18"/>
          <w:szCs w:val="18"/>
        </w:rPr>
        <w:t xml:space="preserve">Source: </w:t>
      </w:r>
      <w:r>
        <w:rPr>
          <w:rFonts w:ascii="Arial" w:cs="Arial" w:eastAsia="Arial" w:hAnsi="Arial"/>
          <w:b w:val="false"/>
          <w:bCs w:val="false"/>
          <w:i/>
          <w:iCs/>
          <w:color w:val="333333"/>
          <w:sz w:val="18"/>
          <w:szCs w:val="18"/>
        </w:rPr>
        <w:t xml:space="preserve">Ministerio de Hacienda, Gobierno de El Salvador. Informe Complementario Constitucional, Ejercicio Fiscal de 1958. San Salvador, 28 de febrero de 1959. Signed by Humberto Costa, Ministro de Hacienda.</w:t>
      </w:r>
    </w:p>
    <w:p>
      <w:pPr>
        <w:spacing w:after="160" w:before="0" w:line="276"/>
        <w:jc w:val="both"/>
      </w:pPr>
      <w:r>
        <w:rPr>
          <w:rFonts w:ascii="Arial" w:cs="Arial" w:eastAsia="Arial" w:hAnsi="Arial"/>
          <w:b w:val="false"/>
          <w:bCs w:val="false"/>
          <w:i/>
          <w:iCs/>
          <w:color w:val="333333"/>
          <w:sz w:val="18"/>
          <w:szCs w:val="18"/>
        </w:rPr>
        <w:t xml:space="preserve">Note prepared from scanned primary documents held in the repository: chepito61/El-Salvador-s-Political-Economy-of-Fiscal-Policy-1953-1980.</w:t>
      </w:r>
    </w:p>
    <w:p>
      <w:pPr>
        <w:spacing w:after="160" w:before="0" w:line="276"/>
        <w:jc w:val="both"/>
      </w:pPr>
      <w:r>
        <w:rPr>
          <w:rFonts w:ascii="Arial" w:cs="Arial" w:eastAsia="Arial" w:hAnsi="Arial"/>
          <w:b/>
          <w:bCs/>
          <w:i w:val="false"/>
          <w:iCs w:val="false"/>
          <w:color w:val="CC0000"/>
          <w:sz w:val="18"/>
          <w:szCs w:val="18"/>
        </w:rPr>
        <w:t xml:space="preserve">Note: The Estado No. 5 in Part C appears to cover prior-year charges, not the current fiscal year. Salary breakdown by ramo for the personnel footprint requires the current-year Estado No. 5, which may be in a different section of the original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888888"/>
        <w:sz w:val="18"/>
        <w:szCs w:val="18"/>
      </w:rPr>
      <w:t xml:space="preserve">El Salvador — Memorias de Hacienda 1958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2026-04-01T17:48:49.880Z</dcterms:created>
  <dcterms:modified xsi:type="dcterms:W3CDTF">2026-04-01T17:48:49.881Z</dcterms:modified>
</cp:coreProperties>
</file>

<file path=docProps/custom.xml><?xml version="1.0" encoding="utf-8"?>
<Properties xmlns="http://schemas.openxmlformats.org/officeDocument/2006/custom-properties" xmlns:vt="http://schemas.openxmlformats.org/officeDocument/2006/docPropsVTypes"/>
</file>