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line="276"/>
        <w:jc w:val="both"/>
      </w:pPr>
      <w:r>
        <w:rPr>
          <w:rFonts w:ascii="Arial" w:cs="Arial" w:eastAsia="Arial" w:hAnsi="Arial"/>
          <w:b/>
          <w:bCs/>
          <w:i w:val="false"/>
          <w:iCs w:val="false"/>
          <w:color w:val="1F3864"/>
          <w:sz w:val="32"/>
          <w:szCs w:val="32"/>
        </w:rPr>
        <w:t xml:space="preserve">El Salvador: Fiscal Diagnostic and Vulnerability Assessment, 1955–1956</w:t>
      </w:r>
    </w:p>
    <w:p>
      <w:pPr>
        <w:spacing w:after="300" w:before="0" w:line="276"/>
        <w:jc w:val="both"/>
      </w:pPr>
      <w:r>
        <w:rPr>
          <w:rFonts w:ascii="Arial" w:cs="Arial" w:eastAsia="Arial" w:hAnsi="Arial"/>
          <w:b w:val="false"/>
          <w:bCs w:val="false"/>
          <w:i/>
          <w:iCs/>
          <w:color w:val="555555"/>
          <w:sz w:val="22"/>
          <w:szCs w:val="22"/>
        </w:rPr>
        <w:t xml:space="preserve">Technical Note — Preliminary Assessment Based on Primary Fiscal Data</w:t>
      </w:r>
    </w:p>
    <w:p>
      <w:pPr>
        <w:pStyle w:val="Heading2"/>
        <w:spacing w:after="160" w:before="300" w:line="276"/>
        <w:jc w:val="both"/>
      </w:pPr>
      <w:r>
        <w:rPr>
          <w:rFonts w:ascii="Arial" w:cs="Arial" w:eastAsia="Arial" w:hAnsi="Arial"/>
          <w:b/>
          <w:bCs/>
          <w:i w:val="false"/>
          <w:iCs w:val="false"/>
          <w:color w:val="2E5090"/>
          <w:sz w:val="28"/>
          <w:szCs w:val="28"/>
        </w:rPr>
        <w:t xml:space="preserve">Executive Summary</w:t>
      </w:r>
    </w:p>
    <w:p>
      <w:pPr>
        <w:spacing w:after="160" w:before="0" w:line="276"/>
        <w:jc w:val="both"/>
      </w:pPr>
      <w:r>
        <w:rPr>
          <w:rFonts w:ascii="Arial" w:cs="Arial" w:eastAsia="Arial" w:hAnsi="Arial"/>
          <w:b w:val="false"/>
          <w:bCs w:val="false"/>
          <w:i w:val="false"/>
          <w:iCs w:val="false"/>
          <w:color w:val="333333"/>
          <w:sz w:val="22"/>
          <w:szCs w:val="22"/>
        </w:rPr>
        <w:t xml:space="preserve">This note presents a fiscal diagnostic for El Salvador covering the biennial fiscal period 1955–1956, building on the framework established in the Technical Notes for 1952–1953 and 1954–1955. The biennial format reflects the political transition from Colonel Óscar Osorio to Colonel José María Lemus, both of the PRUD. The analysis draws on the Informe Complementario Constitucional (Parts A–D) and applies standard fiscal assessment frameworks.</w:t>
      </w:r>
    </w:p>
    <w:p>
      <w:pPr>
        <w:spacing w:after="160" w:before="0" w:line="276"/>
        <w:jc w:val="both"/>
      </w:pPr>
      <w:r>
        <w:rPr>
          <w:rFonts w:ascii="Arial" w:cs="Arial" w:eastAsia="Arial" w:hAnsi="Arial"/>
          <w:b/>
          <w:bCs/>
          <w:i w:val="false"/>
          <w:iCs w:val="false"/>
          <w:color w:val="333333"/>
          <w:sz w:val="22"/>
          <w:szCs w:val="22"/>
        </w:rPr>
        <w:t xml:space="preserve">Key findings:</w:t>
      </w:r>
    </w:p>
    <w:p>
      <w:pPr>
        <w:spacing w:after="100" w:line="260"/>
        <w:ind w:left="360"/>
        <w:jc w:val="both"/>
      </w:pPr>
      <w:r>
        <w:rPr>
          <w:rFonts w:ascii="Arial" w:cs="Arial" w:eastAsia="Arial" w:hAnsi="Arial"/>
          <w:b/>
          <w:bCs/>
          <w:i w:val="false"/>
          <w:iCs w:val="false"/>
          <w:color w:val="333333"/>
          <w:sz w:val="22"/>
          <w:szCs w:val="22"/>
        </w:rPr>
        <w:t xml:space="preserve">El Salvador’s fiscal position shifted from “low debt, moderate stress, rising vulnerability” (1954–55) to </w:t>
      </w:r>
      <w:r>
        <w:rPr>
          <w:rFonts w:ascii="Arial" w:cs="Arial" w:eastAsia="Arial" w:hAnsi="Arial"/>
          <w:b/>
          <w:bCs/>
          <w:i w:val="false"/>
          <w:iCs w:val="false"/>
          <w:color w:val="333333"/>
          <w:sz w:val="22"/>
          <w:szCs w:val="22"/>
        </w:rPr>
        <w:t xml:space="preserve">“moderate debt, moderate stress, high vulnerability”</w:t>
      </w:r>
      <w:r>
        <w:rPr>
          <w:rFonts w:ascii="Arial" w:cs="Arial" w:eastAsia="Arial" w:hAnsi="Arial"/>
          <w:b w:val="false"/>
          <w:bCs w:val="false"/>
          <w:i w:val="false"/>
          <w:iCs w:val="false"/>
          <w:color w:val="333333"/>
          <w:sz w:val="22"/>
          <w:szCs w:val="22"/>
        </w:rPr>
        <w:t xml:space="preserve"> (1955–56). The debt trajectory reversed for the first time in the series, while the revenue base remained dangerously concentrated.</w:t>
      </w:r>
    </w:p>
    <w:p>
      <w:pPr>
        <w:spacing w:after="100" w:line="260"/>
        <w:ind w:left="360"/>
        <w:jc w:val="both"/>
      </w:pPr>
      <w:r>
        <w:rPr>
          <w:rFonts w:ascii="Arial" w:cs="Arial" w:eastAsia="Arial" w:hAnsi="Arial"/>
          <w:b w:val="false"/>
          <w:bCs w:val="false"/>
          <w:i w:val="false"/>
          <w:iCs w:val="false"/>
          <w:color w:val="333333"/>
          <w:sz w:val="22"/>
          <w:szCs w:val="22"/>
        </w:rPr>
        <w:t xml:space="preserve">Revenue peaked in 1954 (₡167.4M) and experienced its </w:t>
      </w:r>
      <w:r>
        <w:rPr>
          <w:rFonts w:ascii="Arial" w:cs="Arial" w:eastAsia="Arial" w:hAnsi="Arial"/>
          <w:b/>
          <w:bCs/>
          <w:i w:val="false"/>
          <w:iCs w:val="false"/>
          <w:color w:val="333333"/>
          <w:sz w:val="22"/>
          <w:szCs w:val="22"/>
        </w:rPr>
        <w:t xml:space="preserve">first decline in 1955</w:t>
      </w:r>
      <w:r>
        <w:rPr>
          <w:rFonts w:ascii="Arial" w:cs="Arial" w:eastAsia="Arial" w:hAnsi="Arial"/>
          <w:b w:val="false"/>
          <w:bCs w:val="false"/>
          <w:i w:val="false"/>
          <w:iCs w:val="false"/>
          <w:color w:val="333333"/>
          <w:sz w:val="22"/>
          <w:szCs w:val="22"/>
        </w:rPr>
        <w:t xml:space="preserve"> (₡165.0M), before recovering modestly in 1956 (₡170.9M). The revenue base became more concentrated: tax share rose to 92.4% (from 87% in 1953).</w:t>
      </w:r>
    </w:p>
    <w:p>
      <w:pPr>
        <w:spacing w:after="100" w:line="260"/>
        <w:ind w:left="360"/>
        <w:jc w:val="both"/>
      </w:pPr>
      <w:r>
        <w:rPr>
          <w:rFonts w:ascii="Arial" w:cs="Arial" w:eastAsia="Arial" w:hAnsi="Arial"/>
          <w:b w:val="false"/>
          <w:bCs w:val="false"/>
          <w:i w:val="false"/>
          <w:iCs w:val="false"/>
          <w:color w:val="333333"/>
          <w:sz w:val="22"/>
          <w:szCs w:val="22"/>
        </w:rPr>
        <w:t xml:space="preserve">The debt stock </w:t>
      </w:r>
      <w:r>
        <w:rPr>
          <w:rFonts w:ascii="Arial" w:cs="Arial" w:eastAsia="Arial" w:hAnsi="Arial"/>
          <w:b/>
          <w:bCs/>
          <w:i w:val="false"/>
          <w:iCs w:val="false"/>
          <w:color w:val="333333"/>
          <w:sz w:val="22"/>
          <w:szCs w:val="22"/>
        </w:rPr>
        <w:t xml:space="preserve">reversed from declining to rising</w:t>
      </w:r>
      <w:r>
        <w:rPr>
          <w:rFonts w:ascii="Arial" w:cs="Arial" w:eastAsia="Arial" w:hAnsi="Arial"/>
          <w:b w:val="false"/>
          <w:bCs w:val="false"/>
          <w:i w:val="false"/>
          <w:iCs w:val="false"/>
          <w:color w:val="333333"/>
          <w:sz w:val="22"/>
          <w:szCs w:val="22"/>
        </w:rPr>
        <w:t xml:space="preserve">, jumping from ~₡23.9M (end-1955) to ₡32.6M (end-1956) — a 36% increase driven by the IBRD Carretera del Litoral loan, El Salvador’s first World Bank borrowing.</w:t>
      </w:r>
    </w:p>
    <w:p>
      <w:pPr>
        <w:spacing w:after="100" w:line="260"/>
        <w:ind w:left="360"/>
        <w:jc w:val="both"/>
      </w:pPr>
      <w:r>
        <w:rPr>
          <w:rFonts w:ascii="Arial" w:cs="Arial" w:eastAsia="Arial" w:hAnsi="Arial"/>
          <w:b w:val="false"/>
          <w:bCs w:val="false"/>
          <w:i w:val="false"/>
          <w:iCs w:val="false"/>
          <w:color w:val="333333"/>
          <w:sz w:val="22"/>
          <w:szCs w:val="22"/>
        </w:rPr>
        <w:t xml:space="preserve">Expenditure rigidity remained high: the wage bill at 48.3% and rigid + semi-rigid categories absorbing approximately 75–80% of the budget.</w:t>
      </w:r>
    </w:p>
    <w:p>
      <w:pPr>
        <w:spacing w:after="100" w:line="260"/>
        <w:ind w:left="360"/>
        <w:jc w:val="both"/>
      </w:pPr>
      <w:r>
        <w:rPr>
          <w:rFonts w:ascii="Arial" w:cs="Arial" w:eastAsia="Arial" w:hAnsi="Arial"/>
          <w:b w:val="false"/>
          <w:bCs w:val="false"/>
          <w:i w:val="false"/>
          <w:iCs w:val="false"/>
          <w:color w:val="333333"/>
          <w:sz w:val="22"/>
          <w:szCs w:val="22"/>
        </w:rPr>
        <w:t xml:space="preserve">The 1922 Empréstito Nacional, 34 years after contraction, still represented ₡10.6M (32.5% of total debt), required ₡2M/year in service, carried unpaid interest, and involved holdout creditors from the 1933–1936 restructuring.</w:t>
      </w:r>
    </w:p>
    <w:p>
      <w:pPr>
        <w:spacing w:after="100" w:line="260"/>
        <w:ind w:left="360"/>
        <w:jc w:val="both"/>
      </w:pPr>
      <w:r>
        <w:rPr>
          <w:rFonts w:ascii="Arial" w:cs="Arial" w:eastAsia="Arial" w:hAnsi="Arial"/>
          <w:b w:val="false"/>
          <w:bCs w:val="false"/>
          <w:i w:val="false"/>
          <w:iCs w:val="false"/>
          <w:color w:val="333333"/>
          <w:sz w:val="22"/>
          <w:szCs w:val="22"/>
        </w:rPr>
        <w:t xml:space="preserve">Contingent liabilities expanded significantly: the Valle de La Esperanza authorization (₡11.15M, of which ₡7.25M drawn) and the IBRD loan (disbursing rapidly) represented major future commitments.</w:t>
      </w:r>
    </w:p>
    <w:p>
      <w:pPr>
        <w:spacing w:after="160" w:before="0" w:line="276"/>
        <w:jc w:val="both"/>
      </w:pPr>
      <w:r>
        <w:rPr>
          <w:rFonts w:ascii="Arial" w:cs="Arial" w:eastAsia="Arial" w:hAnsi="Arial"/>
          <w:b w:val="false"/>
          <w:bCs w:val="false"/>
          <w:i/>
          <w:iCs/>
          <w:color w:val="333333"/>
          <w:sz w:val="22"/>
          <w:szCs w:val="22"/>
        </w:rPr>
        <w:t xml:space="preserve">Currency: US$1.00 = ₡2.50 (colones). Fixed exchange rate.</w:t>
      </w:r>
    </w:p>
    <w:p>
      <w:r>
        <w:br w:type="page"/>
      </w:r>
    </w:p>
    <w:p>
      <w:pPr>
        <w:pStyle w:val="Heading2"/>
        <w:spacing w:after="160" w:before="300" w:line="276"/>
        <w:jc w:val="both"/>
      </w:pPr>
      <w:r>
        <w:rPr>
          <w:rFonts w:ascii="Arial" w:cs="Arial" w:eastAsia="Arial" w:hAnsi="Arial"/>
          <w:b/>
          <w:bCs/>
          <w:i w:val="false"/>
          <w:iCs w:val="false"/>
          <w:color w:val="2E5090"/>
          <w:sz w:val="28"/>
          <w:szCs w:val="28"/>
        </w:rPr>
        <w:t xml:space="preserve">1. Fiscal Accounts Summary</w:t>
      </w:r>
    </w:p>
    <w:p>
      <w:pPr>
        <w:pStyle w:val="Heading3"/>
        <w:spacing w:after="120" w:before="240" w:line="276"/>
        <w:jc w:val="both"/>
      </w:pPr>
      <w:r>
        <w:rPr>
          <w:rFonts w:ascii="Arial" w:cs="Arial" w:eastAsia="Arial" w:hAnsi="Arial"/>
          <w:b/>
          <w:bCs/>
          <w:i w:val="false"/>
          <w:iCs w:val="false"/>
          <w:color w:val="404040"/>
          <w:sz w:val="24"/>
          <w:szCs w:val="24"/>
        </w:rPr>
        <w:t xml:space="preserve">1.1 Overall Fiscal Position</w:t>
      </w:r>
    </w:p>
    <w:p>
      <w:pPr>
        <w:spacing w:after="80" w:before="0" w:line="276"/>
        <w:jc w:val="both"/>
      </w:pPr>
      <w:r>
        <w:rPr>
          <w:rFonts w:ascii="Arial" w:cs="Arial" w:eastAsia="Arial" w:hAnsi="Arial"/>
          <w:b/>
          <w:bCs/>
          <w:i w:val="false"/>
          <w:iCs w:val="false"/>
          <w:color w:val="333333"/>
          <w:sz w:val="18"/>
          <w:szCs w:val="18"/>
        </w:rPr>
        <w:t xml:space="preserve">Table 1. Fiscal Accounts Summary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tblGrid>
      <w:tr>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1954</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1956</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Biennial 55-56</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Revenue (₡M)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167.4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165.0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170.9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335.9</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Expenditure (₡M)</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142.4</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153.3</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153.0</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306.3</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Headline Surplus (₡M)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29.6</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Surplus as % of Revenue</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14.9%</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7.1%</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10.5%</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8.8%</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Superávit Financiero (end-yr)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39.9</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Authorized Allocations (₡M)</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161.0</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~163</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~164</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327.4</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Utilization Rate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88.5%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93.6%</w:t>
            </w:r>
          </w:p>
        </w:tc>
      </w:tr>
    </w:tbl>
    <w:p>
      <w:pPr>
        <w:spacing w:after="200" w:before="40" w:line="276"/>
        <w:jc w:val="both"/>
      </w:pPr>
      <w:r>
        <w:rPr>
          <w:rFonts w:ascii="Arial" w:cs="Arial" w:eastAsia="Arial" w:hAnsi="Arial"/>
          <w:b w:val="false"/>
          <w:bCs w:val="false"/>
          <w:i/>
          <w:iCs/>
          <w:color w:val="333333"/>
          <w:sz w:val="16"/>
          <w:szCs w:val="16"/>
        </w:rPr>
        <w:t xml:space="preserve">Source: MH 1954; Informe Complementario Constitucional 1955–1956.</w:t>
      </w:r>
    </w:p>
    <w:p>
      <w:pPr>
        <w:spacing w:after="160" w:before="0" w:line="276"/>
        <w:jc w:val="both"/>
      </w:pPr>
      <w:r>
        <w:rPr>
          <w:rFonts w:ascii="Arial" w:cs="Arial" w:eastAsia="Arial" w:hAnsi="Arial"/>
          <w:b w:val="false"/>
          <w:bCs w:val="false"/>
          <w:i w:val="false"/>
          <w:iCs w:val="false"/>
          <w:color w:val="333333"/>
          <w:sz w:val="22"/>
          <w:szCs w:val="22"/>
        </w:rPr>
        <w:t xml:space="preserve">The headline surplus narrowed from 14.9% of revenue (1954) to 8.8% (biennial average). However, the Superávit Financiero nearly doubled from ₡20M to ₡39.9M, reflecting the dual-budget architecture: off-budget expenditures (IBRD, Valle de La Esperanza) absorbed resources not captured in the General Fund accounts.</w:t>
      </w:r>
    </w:p>
    <w:p>
      <w:pPr>
        <w:pStyle w:val="Heading3"/>
        <w:spacing w:after="120" w:before="240" w:line="276"/>
        <w:jc w:val="both"/>
      </w:pPr>
      <w:r>
        <w:rPr>
          <w:rFonts w:ascii="Arial" w:cs="Arial" w:eastAsia="Arial" w:hAnsi="Arial"/>
          <w:b/>
          <w:bCs/>
          <w:i w:val="false"/>
          <w:iCs w:val="false"/>
          <w:color w:val="404040"/>
          <w:sz w:val="24"/>
          <w:szCs w:val="24"/>
        </w:rPr>
        <w:t xml:space="preserve">1.2 Revenue Performance</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tblGrid>
      <w:tr>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Revenue Indicator</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1954</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1956</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Revenue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167.4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165.0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170.9</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YoY Growth</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+21.7%</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Impuestos as % of total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92.3%</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Import duties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53.5</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55.4</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59.0</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Export duties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46.2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43.5</w:t>
            </w:r>
          </w:p>
        </w:tc>
      </w:tr>
      <w:tr>
        <w:tc>
          <w:tcPr>
            <w:tcW w:type="dxa" w:w="3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10.6</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~7.0</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~6.6</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 as % of total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w:t>
            </w:r>
          </w:p>
        </w:tc>
      </w:tr>
    </w:tbl>
    <w:p>
      <w:pPr>
        <w:spacing w:after="200" w:before="40" w:line="276"/>
        <w:jc w:val="both"/>
      </w:pPr>
      <w:r>
        <w:rPr>
          <w:rFonts w:ascii="Arial" w:cs="Arial" w:eastAsia="Arial" w:hAnsi="Arial"/>
          <w:b w:val="false"/>
          <w:bCs w:val="false"/>
          <w:i/>
          <w:iCs/>
          <w:color w:val="333333"/>
          <w:sz w:val="16"/>
          <w:szCs w:val="16"/>
        </w:rPr>
        <w:t xml:space="preserve">Source: Estados Nos. 2, 2-A, 2-B, 3.</w:t>
      </w:r>
    </w:p>
    <w:p>
      <w:pPr>
        <w:pStyle w:val="Heading3"/>
        <w:spacing w:after="120" w:before="240" w:line="276"/>
        <w:jc w:val="both"/>
      </w:pPr>
      <w:r>
        <w:rPr>
          <w:rFonts w:ascii="Arial" w:cs="Arial" w:eastAsia="Arial" w:hAnsi="Arial"/>
          <w:b/>
          <w:bCs/>
          <w:i w:val="false"/>
          <w:iCs w:val="false"/>
          <w:color w:val="404040"/>
          <w:sz w:val="24"/>
          <w:szCs w:val="24"/>
        </w:rPr>
        <w:t xml:space="preserve">1.3 Expenditure Performance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tblGrid>
      <w:tr>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Expenditure Indicator</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1954</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1956</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Biennial</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Expenditure (₡M)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142.4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153.3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153.0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306.3</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Growth over prior year</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+14.8%</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+7.6%</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–0.2%</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Personnel / Total</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48.3%</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Education / Total</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18.1%</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14.4%</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Defense / Total</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10.5%</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 / Total</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1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w:t>
            </w:r>
          </w:p>
        </w:tc>
      </w:tr>
    </w:tbl>
    <w:p>
      <w:pPr>
        <w:spacing w:after="200" w:before="40" w:line="276"/>
        <w:jc w:val="both"/>
      </w:pPr>
      <w:r>
        <w:rPr>
          <w:rFonts w:ascii="Arial" w:cs="Arial" w:eastAsia="Arial" w:hAnsi="Arial"/>
          <w:b w:val="false"/>
          <w:bCs w:val="false"/>
          <w:i/>
          <w:iCs/>
          <w:color w:val="333333"/>
          <w:sz w:val="16"/>
          <w:szCs w:val="16"/>
        </w:rPr>
        <w:t xml:space="preserve">Source: Estados Nos. 5, 5-A, 5-B.</w:t>
      </w:r>
    </w:p>
    <w:p>
      <w:r>
        <w:br w:type="page"/>
      </w:r>
    </w:p>
    <w:p>
      <w:pPr>
        <w:pStyle w:val="Heading2"/>
        <w:spacing w:after="160" w:before="300" w:line="276"/>
        <w:jc w:val="both"/>
      </w:pPr>
      <w:r>
        <w:rPr>
          <w:rFonts w:ascii="Arial" w:cs="Arial" w:eastAsia="Arial" w:hAnsi="Arial"/>
          <w:b/>
          <w:bCs/>
          <w:i w:val="false"/>
          <w:iCs w:val="false"/>
          <w:color w:val="2E5090"/>
          <w:sz w:val="28"/>
          <w:szCs w:val="28"/>
        </w:rPr>
        <w:t xml:space="preserve">2. Structural Revenue Analysis</w:t>
      </w:r>
    </w:p>
    <w:p>
      <w:pPr>
        <w:pStyle w:val="Heading3"/>
        <w:spacing w:after="120" w:before="240" w:line="276"/>
        <w:jc w:val="both"/>
      </w:pPr>
      <w:r>
        <w:rPr>
          <w:rFonts w:ascii="Arial" w:cs="Arial" w:eastAsia="Arial" w:hAnsi="Arial"/>
          <w:b/>
          <w:bCs/>
          <w:i w:val="false"/>
          <w:iCs w:val="false"/>
          <w:color w:val="404040"/>
          <w:sz w:val="24"/>
          <w:szCs w:val="24"/>
        </w:rPr>
        <w:t xml:space="preserve">2.1 Revenue Concentration</w:t>
      </w:r>
    </w:p>
    <w:p>
      <w:pPr>
        <w:spacing w:after="80" w:before="0" w:line="276"/>
        <w:jc w:val="both"/>
      </w:pPr>
      <w:r>
        <w:rPr>
          <w:rFonts w:ascii="Arial" w:cs="Arial" w:eastAsia="Arial" w:hAnsi="Arial"/>
          <w:b/>
          <w:bCs/>
          <w:i w:val="false"/>
          <w:iCs w:val="false"/>
          <w:color w:val="333333"/>
          <w:sz w:val="18"/>
          <w:szCs w:val="18"/>
        </w:rPr>
        <w:t xml:space="preserve">Table 2. Revenue Concentration Index</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8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Revenue Source</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1953 Share</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1954 Share</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1955-56 Share</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Import duties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31.9%</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34.1%</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 procyclical</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Export duties (coffee)</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27.6%</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27.5%</w:t>
            </w:r>
          </w:p>
        </w:tc>
        <w:tc>
          <w:tcPr>
            <w:tcW w:type="dxa" w:w="1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VERY HIGH: single commodity</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Consumption taxes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16.1%</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MODERATE</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6.4%</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w:t>
            </w:r>
          </w:p>
        </w:tc>
        <w:tc>
          <w:tcPr>
            <w:tcW w:type="dxa" w:w="1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LOW but declining</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Other taxes + non-tax</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18.2%</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MODERATE</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Trade-dependent share</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~75%</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~79%</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~80%</w:t>
            </w:r>
          </w:p>
        </w:tc>
        <w:tc>
          <w:tcPr>
            <w:tcW w:type="dxa" w:w="1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CRITICAL</w:t>
            </w:r>
          </w:p>
        </w:tc>
      </w:tr>
    </w:tbl>
    <w:p>
      <w:pPr>
        <w:spacing w:after="200" w:before="40" w:line="276"/>
        <w:jc w:val="both"/>
      </w:pPr>
      <w:r>
        <w:rPr>
          <w:rFonts w:ascii="Arial" w:cs="Arial" w:eastAsia="Arial" w:hAnsi="Arial"/>
          <w:b w:val="false"/>
          <w:bCs w:val="false"/>
          <w:i/>
          <w:iCs/>
          <w:color w:val="333333"/>
          <w:sz w:val="16"/>
          <w:szCs w:val="16"/>
        </w:rPr>
        <w:t xml:space="preserve">Source: Revenue tables, 1953–1956 Memorias.</w:t>
      </w:r>
    </w:p>
    <w:p>
      <w:pPr>
        <w:spacing w:after="160" w:before="0" w:line="276"/>
        <w:jc w:val="both"/>
      </w:pPr>
      <w:r>
        <w:rPr>
          <w:rFonts w:ascii="Arial" w:cs="Arial" w:eastAsia="Arial" w:hAnsi="Arial"/>
          <w:b/>
          <w:bCs/>
          <w:i w:val="false"/>
          <w:iCs w:val="false"/>
          <w:color w:val="333333"/>
          <w:sz w:val="22"/>
          <w:szCs w:val="22"/>
        </w:rPr>
        <w:t xml:space="preserve">Trade dependence increased further — the wrong direction. </w:t>
      </w:r>
      <w:r>
        <w:rPr>
          <w:rFonts w:ascii="Arial" w:cs="Arial" w:eastAsia="Arial" w:hAnsi="Arial"/>
          <w:b w:val="false"/>
          <w:bCs w:val="false"/>
          <w:i w:val="false"/>
          <w:iCs w:val="false"/>
          <w:color w:val="333333"/>
          <w:sz w:val="22"/>
          <w:szCs w:val="22"/>
        </w:rPr>
        <w:t xml:space="preserve">With approximately 80% of revenue dependent on trade flows and trade overwhelmingly driven by coffee, a 20% coffee price decline could reduce total government revenue by 15–20%. The 1955 experience confirmed this mechanism: a modest price softening produced the first revenue decline since 1949.</w:t>
      </w:r>
    </w:p>
    <w:p>
      <w:pPr>
        <w:spacing w:after="160" w:before="0" w:line="276"/>
        <w:jc w:val="both"/>
      </w:pPr>
      <w:r>
        <w:rPr>
          <w:rFonts w:ascii="Arial" w:cs="Arial" w:eastAsia="Arial" w:hAnsi="Arial"/>
          <w:b w:val="false"/>
          <w:bCs w:val="false"/>
          <w:i w:val="false"/>
          <w:iCs w:val="false"/>
          <w:color w:val="333333"/>
          <w:sz w:val="22"/>
          <w:szCs w:val="22"/>
        </w:rPr>
        <w:t xml:space="preserve">The income tax share </w:t>
      </w:r>
      <w:r>
        <w:rPr>
          <w:rFonts w:ascii="Arial" w:cs="Arial" w:eastAsia="Arial" w:hAnsi="Arial"/>
          <w:b/>
          <w:bCs/>
          <w:i w:val="false"/>
          <w:iCs w:val="false"/>
          <w:color w:val="333333"/>
          <w:sz w:val="22"/>
          <w:szCs w:val="22"/>
        </w:rPr>
        <w:t xml:space="preserve">declined</w:t>
      </w:r>
      <w:r>
        <w:rPr>
          <w:rFonts w:ascii="Arial" w:cs="Arial" w:eastAsia="Arial" w:hAnsi="Arial"/>
          <w:b w:val="false"/>
          <w:bCs w:val="false"/>
          <w:i w:val="false"/>
          <w:iCs w:val="false"/>
          <w:color w:val="333333"/>
          <w:sz w:val="22"/>
          <w:szCs w:val="22"/>
        </w:rPr>
        <w:t xml:space="preserve"> from 6.4% (1954) to 4.1% (biennial average) — moving in the opposite direction of what fiscal diversification would require. As documented in the policy note, this reflects the structural constraints of Decreto 836 (coffee grower exemption) and Decreto 510 (5% maximum corporate rate).</w:t>
      </w:r>
    </w:p>
    <w:p>
      <w:pPr>
        <w:pStyle w:val="Heading3"/>
        <w:spacing w:after="120" w:before="240" w:line="276"/>
        <w:jc w:val="both"/>
      </w:pPr>
      <w:r>
        <w:rPr>
          <w:rFonts w:ascii="Arial" w:cs="Arial" w:eastAsia="Arial" w:hAnsi="Arial"/>
          <w:b/>
          <w:bCs/>
          <w:i w:val="false"/>
          <w:iCs w:val="false"/>
          <w:color w:val="404040"/>
          <w:sz w:val="24"/>
          <w:szCs w:val="24"/>
        </w:rPr>
        <w:t xml:space="preserve">2.2 Revenue Buoyancy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Period</w:t>
            </w:r>
          </w:p>
        </w:tc>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Revenue Growth</w:t>
            </w:r>
          </w:p>
        </w:tc>
        <w:tc>
          <w:tcPr>
            <w:tcW w:type="dxa" w:w="4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Assessment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1949–1950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+20.5%</w:t>
            </w:r>
          </w:p>
        </w:tc>
        <w:tc>
          <w:tcPr>
            <w:tcW w:type="dxa" w:w="4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Korean War commodity surge</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1950–1951</w:t>
            </w:r>
          </w:p>
        </w:tc>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+41.1%</w:t>
            </w:r>
          </w:p>
        </w:tc>
        <w:tc>
          <w:tcPr>
            <w:tcW w:type="dxa" w:w="47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Peak coffee boom</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1951–1952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+10.2%</w:t>
            </w:r>
          </w:p>
        </w:tc>
        <w:tc>
          <w:tcPr>
            <w:tcW w:type="dxa" w:w="4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Post-boom normalization</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1952–1953</w:t>
            </w:r>
          </w:p>
        </w:tc>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+6.1%</w:t>
            </w:r>
          </w:p>
        </w:tc>
        <w:tc>
          <w:tcPr>
            <w:tcW w:type="dxa" w:w="47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Moderate growth</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1953–1954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+21.7%</w:t>
            </w:r>
          </w:p>
        </w:tc>
        <w:tc>
          <w:tcPr>
            <w:tcW w:type="dxa" w:w="4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Coffee price peak</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1954–1955</w:t>
            </w:r>
          </w:p>
        </w:tc>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47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FIRST DECLINE: price softening</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1955–1956</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w:t>
            </w:r>
          </w:p>
        </w:tc>
        <w:tc>
          <w:tcPr>
            <w:tcW w:type="dxa" w:w="4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Modest recovery</w:t>
            </w:r>
          </w:p>
        </w:tc>
      </w:tr>
    </w:tbl>
    <w:p>
      <w:pPr>
        <w:spacing w:after="200" w:before="40" w:line="276"/>
        <w:jc w:val="both"/>
      </w:pPr>
      <w:r>
        <w:rPr>
          <w:rFonts w:ascii="Arial" w:cs="Arial" w:eastAsia="Arial" w:hAnsi="Arial"/>
          <w:b w:val="false"/>
          <w:bCs w:val="false"/>
          <w:i/>
          <w:iCs/>
          <w:color w:val="333333"/>
          <w:sz w:val="16"/>
          <w:szCs w:val="16"/>
        </w:rPr>
        <w:t xml:space="preserve">[DATA GAP: GDP series still needed for formal buoyancy coefficients.]</w:t>
      </w:r>
    </w:p>
    <w:p>
      <w:pPr>
        <w:spacing w:after="160" w:before="0" w:line="276"/>
        <w:jc w:val="both"/>
      </w:pPr>
      <w:r>
        <w:rPr>
          <w:rFonts w:ascii="Arial" w:cs="Arial" w:eastAsia="Arial" w:hAnsi="Arial"/>
          <w:b w:val="false"/>
          <w:bCs w:val="false"/>
          <w:i w:val="false"/>
          <w:iCs w:val="false"/>
          <w:color w:val="333333"/>
          <w:sz w:val="22"/>
          <w:szCs w:val="22"/>
        </w:rPr>
        <w:t xml:space="preserve">The revenue pattern confirms a </w:t>
      </w:r>
      <w:r>
        <w:rPr>
          <w:rFonts w:ascii="Arial" w:cs="Arial" w:eastAsia="Arial" w:hAnsi="Arial"/>
          <w:b/>
          <w:bCs/>
          <w:i w:val="false"/>
          <w:iCs w:val="false"/>
          <w:color w:val="333333"/>
          <w:sz w:val="22"/>
          <w:szCs w:val="22"/>
        </w:rPr>
        <w:t xml:space="preserve">highly buoyant but volatile</w:t>
      </w:r>
      <w:r>
        <w:rPr>
          <w:rFonts w:ascii="Arial" w:cs="Arial" w:eastAsia="Arial" w:hAnsi="Arial"/>
          <w:b w:val="false"/>
          <w:bCs w:val="false"/>
          <w:i w:val="false"/>
          <w:iCs w:val="false"/>
          <w:color w:val="333333"/>
          <w:sz w:val="22"/>
          <w:szCs w:val="22"/>
        </w:rPr>
        <w:t xml:space="preserve"> fiscal system. The 1955 decline was modest (–1.4%) but broke a six-year growth streak. The progressive export tax (Decreto 836) amplified both the upside (1954) and the downside (1955–1956): lower prices moved collections into lower brackets, producing disproportionate revenue loss.</w:t>
      </w:r>
    </w:p>
    <w:p>
      <w:pPr>
        <w:pStyle w:val="Heading3"/>
        <w:spacing w:after="120" w:before="240" w:line="276"/>
        <w:jc w:val="both"/>
      </w:pPr>
      <w:r>
        <w:rPr>
          <w:rFonts w:ascii="Arial" w:cs="Arial" w:eastAsia="Arial" w:hAnsi="Arial"/>
          <w:b/>
          <w:bCs/>
          <w:i w:val="false"/>
          <w:iCs w:val="false"/>
          <w:color w:val="404040"/>
          <w:sz w:val="24"/>
          <w:szCs w:val="24"/>
        </w:rPr>
        <w:t xml:space="preserve">2.3 Tax Effort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8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1953</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1954</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1955-56</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Benchmark</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 GDP</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10–15%</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Tax Revenue / GDP</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8–12%</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Direct Taxes / Total Tax</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1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15–25%</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 / Total Revenue</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6.4%</w:t>
            </w:r>
          </w:p>
        </w:tc>
        <w:tc>
          <w:tcPr>
            <w:tcW w:type="dxa" w:w="13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w:t>
            </w:r>
          </w:p>
        </w:tc>
        <w:tc>
          <w:tcPr>
            <w:tcW w:type="dxa" w:w="1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5–10%</w:t>
            </w:r>
          </w:p>
        </w:tc>
      </w:tr>
    </w:tbl>
    <w:p>
      <w:pPr>
        <w:spacing w:after="160" w:before="0" w:line="276"/>
        <w:jc w:val="both"/>
      </w:pPr>
      <w:r>
        <w:rPr>
          <w:rFonts w:ascii="Arial" w:cs="Arial" w:eastAsia="Arial" w:hAnsi="Arial"/>
          <w:b w:val="false"/>
          <w:bCs w:val="false"/>
          <w:i w:val="false"/>
          <w:iCs w:val="false"/>
          <w:color w:val="333333"/>
          <w:sz w:val="22"/>
          <w:szCs w:val="22"/>
        </w:rPr>
        <w:t xml:space="preserve">The direct tax share moved further below regional benchmarks, declining from ~7% (1954) to ~5% (1955–1956). The government was financing itself more heavily through trade tolls than at any point in the series — a structural regression despite the modernization rhetoric of the MISI.</w:t>
      </w:r>
    </w:p>
    <w:p>
      <w:r>
        <w:br w:type="page"/>
      </w:r>
    </w:p>
    <w:p>
      <w:pPr>
        <w:pStyle w:val="Heading2"/>
        <w:spacing w:after="160" w:before="300" w:line="276"/>
        <w:jc w:val="both"/>
      </w:pPr>
      <w:r>
        <w:rPr>
          <w:rFonts w:ascii="Arial" w:cs="Arial" w:eastAsia="Arial" w:hAnsi="Arial"/>
          <w:b/>
          <w:bCs/>
          <w:i w:val="false"/>
          <w:iCs w:val="false"/>
          <w:color w:val="2E5090"/>
          <w:sz w:val="28"/>
          <w:szCs w:val="28"/>
        </w:rPr>
        <w:t xml:space="preserve">3. Expenditure Rigidity Analysis</w:t>
      </w:r>
    </w:p>
    <w:p>
      <w:pPr>
        <w:pStyle w:val="Heading3"/>
        <w:spacing w:after="120" w:before="240" w:line="276"/>
        <w:jc w:val="both"/>
      </w:pPr>
      <w:r>
        <w:rPr>
          <w:rFonts w:ascii="Arial" w:cs="Arial" w:eastAsia="Arial" w:hAnsi="Arial"/>
          <w:b/>
          <w:bCs/>
          <w:i w:val="false"/>
          <w:iCs w:val="false"/>
          <w:color w:val="404040"/>
          <w:sz w:val="24"/>
          <w:szCs w:val="24"/>
        </w:rPr>
        <w:t xml:space="preserve">3.1 Wage Bill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100"/>
        <w:gridCol w:w="13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1952</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1953</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1954</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1955-56</w:t>
            </w:r>
          </w:p>
        </w:tc>
        <w:tc>
          <w:tcPr>
            <w:tcW w:type="dxa" w:w="1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Alert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Personnel / Total expenditure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48.3%</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&gt;50%</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Personnel / Total revenue</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39.9%</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44.0%</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41.8%</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44.1%</w:t>
            </w:r>
          </w:p>
        </w:tc>
        <w:tc>
          <w:tcPr>
            <w:tcW w:type="dxa" w:w="13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&gt;45%</w:t>
            </w:r>
          </w:p>
        </w:tc>
      </w:tr>
    </w:tbl>
    <w:p>
      <w:pPr>
        <w:spacing w:after="160" w:before="0" w:line="276"/>
        <w:jc w:val="both"/>
      </w:pPr>
      <w:r>
        <w:rPr>
          <w:rFonts w:ascii="Arial" w:cs="Arial" w:eastAsia="Arial" w:hAnsi="Arial"/>
          <w:b w:val="false"/>
          <w:bCs w:val="false"/>
          <w:i w:val="false"/>
          <w:iCs w:val="false"/>
          <w:color w:val="333333"/>
          <w:sz w:val="22"/>
          <w:szCs w:val="22"/>
        </w:rPr>
        <w:t xml:space="preserve">The wage bill stabilized at approximately 48% of expenditure — just below the critical 50% threshold but above the 45% revenue-based alert. The apparent stability masks a composition shift: education payroll grew (reflecting the MISI’s social investment) while defense payroll declined in relative terms. However, both remained rigid commitments that could not be easily reversed.</w:t>
      </w:r>
    </w:p>
    <w:p>
      <w:pPr>
        <w:pStyle w:val="Heading3"/>
        <w:spacing w:after="120" w:before="240" w:line="276"/>
        <w:jc w:val="both"/>
      </w:pPr>
      <w:r>
        <w:rPr>
          <w:rFonts w:ascii="Arial" w:cs="Arial" w:eastAsia="Arial" w:hAnsi="Arial"/>
          <w:b/>
          <w:bCs/>
          <w:i w:val="false"/>
          <w:iCs w:val="false"/>
          <w:color w:val="404040"/>
          <w:sz w:val="24"/>
          <w:szCs w:val="24"/>
        </w:rPr>
        <w:t xml:space="preserve">3.2 Flexibility Index</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4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1952 (%)</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1954 (%)</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1955-56 (%)</w:t>
            </w:r>
          </w:p>
        </w:tc>
        <w:tc>
          <w:tcPr>
            <w:tcW w:type="dxa" w:w="14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Flexibility</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Personnel (wages, salaries)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48.3%</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RIGID</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4.6%</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w:t>
            </w:r>
          </w:p>
        </w:tc>
        <w:tc>
          <w:tcPr>
            <w:tcW w:type="dxa" w:w="14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RIGID</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Subsidies &amp; transfers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20.4%</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18.0%</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SEMI-RIGID</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Materials &amp; supplies</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10.1%</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5.2%</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w:t>
            </w:r>
          </w:p>
        </w:tc>
        <w:tc>
          <w:tcPr>
            <w:tcW w:type="dxa" w:w="14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FLEXIBLE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Equipment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FLEXIBLE</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Property</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7.1%</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10.3%</w:t>
            </w:r>
          </w:p>
        </w:tc>
        <w:tc>
          <w:tcPr>
            <w:tcW w:type="dxa" w:w="14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FLEXIBLE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Non-personal services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5.9%</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SEMI-FLEXIBLE</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Other</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5.6%</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7.6%</w:t>
            </w:r>
          </w:p>
        </w:tc>
        <w:tc>
          <w:tcPr>
            <w:tcW w:type="dxa" w:w="14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FLEXIBLE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Rigid + semi-rigid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73.9%</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72.8%</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70.6%</w:t>
            </w:r>
          </w:p>
        </w:tc>
        <w:tc>
          <w:tcPr>
            <w:tcW w:type="dxa" w:w="1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Flexible</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26.1%</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27.2%</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29.4%</w:t>
            </w:r>
          </w:p>
        </w:tc>
        <w:tc>
          <w:tcPr>
            <w:tcW w:type="dxa" w:w="14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bl>
    <w:p>
      <w:pPr>
        <w:spacing w:after="160" w:before="0" w:line="276"/>
        <w:jc w:val="both"/>
      </w:pPr>
      <w:r>
        <w:rPr>
          <w:rFonts w:ascii="Arial" w:cs="Arial" w:eastAsia="Arial" w:hAnsi="Arial"/>
          <w:b w:val="false"/>
          <w:bCs w:val="false"/>
          <w:i w:val="false"/>
          <w:iCs w:val="false"/>
          <w:color w:val="333333"/>
          <w:sz w:val="22"/>
          <w:szCs w:val="22"/>
        </w:rPr>
        <w:t xml:space="preserve">The flexibility picture improved modestly compared to the 1954 peak rigidity: the flexible share rose from ~27% to ~29%, largely due to the increased Property line (10.3% — reflecting infrastructure investment). However, approximately </w:t>
      </w:r>
      <w:r>
        <w:rPr>
          <w:rFonts w:ascii="Arial" w:cs="Arial" w:eastAsia="Arial" w:hAnsi="Arial"/>
          <w:b/>
          <w:bCs/>
          <w:i w:val="false"/>
          <w:iCs w:val="false"/>
          <w:color w:val="333333"/>
          <w:sz w:val="22"/>
          <w:szCs w:val="22"/>
        </w:rPr>
        <w:t xml:space="preserve">70–75% of the budget remained rigid or semi-rigid</w:t>
      </w:r>
      <w:r>
        <w:rPr>
          <w:rFonts w:ascii="Arial" w:cs="Arial" w:eastAsia="Arial" w:hAnsi="Arial"/>
          <w:b w:val="false"/>
          <w:bCs w:val="false"/>
          <w:i w:val="false"/>
          <w:iCs w:val="false"/>
          <w:color w:val="333333"/>
          <w:sz w:val="22"/>
          <w:szCs w:val="22"/>
        </w:rPr>
        <w:t xml:space="preserve">, meaning that in a fiscal crunch, the government could realistically adjust less than 30% of spending without confronting the wage bill, debt obligations, or politically embedded subsidies.</w:t>
      </w:r>
    </w:p>
    <w:p>
      <w:r>
        <w:br w:type="page"/>
      </w:r>
    </w:p>
    <w:p>
      <w:pPr>
        <w:pStyle w:val="Heading2"/>
        <w:spacing w:after="160" w:before="300" w:line="276"/>
        <w:jc w:val="both"/>
      </w:pPr>
      <w:r>
        <w:rPr>
          <w:rFonts w:ascii="Arial" w:cs="Arial" w:eastAsia="Arial" w:hAnsi="Arial"/>
          <w:b/>
          <w:bCs/>
          <w:i w:val="false"/>
          <w:iCs w:val="false"/>
          <w:color w:val="2E5090"/>
          <w:sz w:val="28"/>
          <w:szCs w:val="28"/>
        </w:rPr>
        <w:t xml:space="preserve">4. Debt Sustainability Analysis</w:t>
      </w:r>
    </w:p>
    <w:p>
      <w:pPr>
        <w:pStyle w:val="Heading3"/>
        <w:spacing w:after="120" w:before="240" w:line="276"/>
        <w:jc w:val="both"/>
      </w:pPr>
      <w:r>
        <w:rPr>
          <w:rFonts w:ascii="Arial" w:cs="Arial" w:eastAsia="Arial" w:hAnsi="Arial"/>
          <w:b/>
          <w:bCs/>
          <w:i w:val="false"/>
          <w:iCs w:val="false"/>
          <w:color w:val="404040"/>
          <w:sz w:val="24"/>
          <w:szCs w:val="24"/>
        </w:rPr>
        <w:t xml:space="preserve">4.1 Debt Stock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100"/>
        <w:gridCol w:w="13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End-1953</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End-1954</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End-1955</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End-1956</w:t>
            </w:r>
          </w:p>
        </w:tc>
        <w:tc>
          <w:tcPr>
            <w:tcW w:type="dxa" w:w="1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Direction</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Public Debt (₡M)</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28.4</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~26.0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~23.9</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32.6</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reversed</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External Debt (₡M)</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18.8</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~16.5</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13.8</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21.2</w:t>
            </w:r>
          </w:p>
        </w:tc>
        <w:tc>
          <w:tcPr>
            <w:tcW w:type="dxa" w:w="13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reversed</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Internal Debt (₡M)</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11.4</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rising</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 Total Revenue</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20.2%</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~15.5%</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~14.5%</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19.1%</w:t>
            </w:r>
          </w:p>
        </w:tc>
        <w:tc>
          <w:tcPr>
            <w:tcW w:type="dxa" w:w="13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reversed</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External / Total Debt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66.2%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57.7%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65.0%</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re-externalized</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1922 Loan / Total Debt</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62.3%</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32.5%</w:t>
            </w:r>
          </w:p>
        </w:tc>
        <w:tc>
          <w:tcPr>
            <w:tcW w:type="dxa" w:w="13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diluted</w:t>
            </w:r>
          </w:p>
        </w:tc>
      </w:tr>
    </w:tbl>
    <w:p>
      <w:pPr>
        <w:spacing w:after="160" w:before="0" w:line="276"/>
        <w:jc w:val="both"/>
      </w:pPr>
      <w:r>
        <w:rPr>
          <w:rFonts w:ascii="Arial" w:cs="Arial" w:eastAsia="Arial" w:hAnsi="Arial"/>
          <w:b w:val="false"/>
          <w:bCs w:val="false"/>
          <w:i w:val="false"/>
          <w:iCs w:val="false"/>
          <w:color w:val="333333"/>
          <w:sz w:val="22"/>
          <w:szCs w:val="22"/>
        </w:rPr>
        <w:t xml:space="preserve">The debt trajectory </w:t>
      </w:r>
      <w:r>
        <w:rPr>
          <w:rFonts w:ascii="Arial" w:cs="Arial" w:eastAsia="Arial" w:hAnsi="Arial"/>
          <w:b/>
          <w:bCs/>
          <w:i w:val="false"/>
          <w:iCs w:val="false"/>
          <w:color w:val="333333"/>
          <w:sz w:val="22"/>
          <w:szCs w:val="22"/>
        </w:rPr>
        <w:t xml:space="preserve">reversed</w:t>
      </w:r>
      <w:r>
        <w:rPr>
          <w:rFonts w:ascii="Arial" w:cs="Arial" w:eastAsia="Arial" w:hAnsi="Arial"/>
          <w:b w:val="false"/>
          <w:bCs w:val="false"/>
          <w:i w:val="false"/>
          <w:iCs w:val="false"/>
          <w:color w:val="333333"/>
          <w:sz w:val="22"/>
          <w:szCs w:val="22"/>
        </w:rPr>
        <w:t xml:space="preserve"> in 1956 after three years of steady decline. The total stock rose 36% in a single year, from ~₡23.9M to ₡32.6M. This was driven almost entirely by the IBRD Carretera del Litoral loan (₡9.6M in new emissions during 1956). The 1922 loan’s share fell from 62% to 33% — but this was a dilution effect (new debt increasing the denominator), not faster retirement.</w:t>
      </w:r>
    </w:p>
    <w:p>
      <w:pPr>
        <w:pStyle w:val="Heading3"/>
        <w:spacing w:after="120" w:before="240" w:line="276"/>
        <w:jc w:val="both"/>
      </w:pPr>
      <w:r>
        <w:rPr>
          <w:rFonts w:ascii="Arial" w:cs="Arial" w:eastAsia="Arial" w:hAnsi="Arial"/>
          <w:b/>
          <w:bCs/>
          <w:i w:val="false"/>
          <w:iCs w:val="false"/>
          <w:color w:val="404040"/>
          <w:sz w:val="24"/>
          <w:szCs w:val="24"/>
        </w:rPr>
        <w:t xml:space="preserve">4.2 Debt Service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100"/>
        <w:gridCol w:w="13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1952</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1953</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1954</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1955-56 (ann.)</w:t>
            </w:r>
          </w:p>
        </w:tc>
        <w:tc>
          <w:tcPr>
            <w:tcW w:type="dxa" w:w="1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Alert</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 / Expenditure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&gt;15%</w:t>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 / Revenue</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2.8%</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4.0%</w:t>
            </w:r>
          </w:p>
        </w:tc>
        <w:tc>
          <w:tcPr>
            <w:tcW w:type="dxa" w:w="13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&gt;20%</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Annual debt service (₡M)</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6.6</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r>
        <w:tc>
          <w:tcPr>
            <w:tcW w:type="dxa" w:w="2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₡2M/yr transfer for 1922 loan</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yes</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yes</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yes</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yes</w:t>
            </w:r>
          </w:p>
        </w:tc>
        <w:tc>
          <w:tcPr>
            <w:tcW w:type="dxa" w:w="13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IBRD interest (1956)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0.33</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rising</w:t>
            </w:r>
          </w:p>
        </w:tc>
      </w:tr>
    </w:tbl>
    <w:p>
      <w:pPr>
        <w:spacing w:after="160" w:before="0" w:line="276"/>
        <w:jc w:val="both"/>
      </w:pPr>
      <w:r>
        <w:rPr>
          <w:rFonts w:ascii="Arial" w:cs="Arial" w:eastAsia="Arial" w:hAnsi="Arial"/>
          <w:b w:val="false"/>
          <w:bCs w:val="false"/>
          <w:i w:val="false"/>
          <w:iCs w:val="false"/>
          <w:color w:val="333333"/>
          <w:sz w:val="22"/>
          <w:szCs w:val="22"/>
        </w:rPr>
        <w:t xml:space="preserve">Debt service rose from 3.3% (1954) back to 4.3% of expenditure (biennial average), and on an annual basis from ₡4.7M to ₡6.6M. The increase reflected the growing stock and the new IBRD interest obligations. While still well within standard thresholds, the </w:t>
      </w:r>
      <w:r>
        <w:rPr>
          <w:rFonts w:ascii="Arial" w:cs="Arial" w:eastAsia="Arial" w:hAnsi="Arial"/>
          <w:b/>
          <w:bCs/>
          <w:i w:val="false"/>
          <w:iCs w:val="false"/>
          <w:color w:val="333333"/>
          <w:sz w:val="22"/>
          <w:szCs w:val="22"/>
        </w:rPr>
        <w:t xml:space="preserve">rate of increase</w:t>
      </w:r>
      <w:r>
        <w:rPr>
          <w:rFonts w:ascii="Arial" w:cs="Arial" w:eastAsia="Arial" w:hAnsi="Arial"/>
          <w:b w:val="false"/>
          <w:bCs w:val="false"/>
          <w:i w:val="false"/>
          <w:iCs w:val="false"/>
          <w:color w:val="333333"/>
          <w:sz w:val="22"/>
          <w:szCs w:val="22"/>
        </w:rPr>
        <w:t xml:space="preserve"> was notable: annual service rose 40% in just two years. If the IBRD loan continued disbursing and the Valle de La Esperanza bonds were fully drawn, service could approach ₡10M/year within 2–3 years.</w:t>
      </w:r>
    </w:p>
    <w:p>
      <w:pPr>
        <w:pStyle w:val="Heading3"/>
        <w:spacing w:after="120" w:before="240" w:line="276"/>
        <w:jc w:val="both"/>
      </w:pPr>
      <w:r>
        <w:rPr>
          <w:rFonts w:ascii="Arial" w:cs="Arial" w:eastAsia="Arial" w:hAnsi="Arial"/>
          <w:b/>
          <w:bCs/>
          <w:i w:val="false"/>
          <w:iCs w:val="false"/>
          <w:color w:val="404040"/>
          <w:sz w:val="24"/>
          <w:szCs w:val="24"/>
        </w:rPr>
        <w:t xml:space="preserve">4.3 Fiscal Space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3160"/>
      </w:tblGrid>
      <w:tr>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Current (1956)</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Threshold</w:t>
            </w:r>
          </w:p>
        </w:tc>
        <w:tc>
          <w:tcPr>
            <w:tcW w:type="dxa" w:w="3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Available Space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 / expenditure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₡16.4M additional service*</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 / revenue</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4.0%</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c>
          <w:tcPr>
            <w:tcW w:type="dxa" w:w="31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₡27.3M additional service*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 revenue</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60%</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₡69.9M additional debt</w:t>
            </w:r>
          </w:p>
        </w:tc>
      </w:tr>
    </w:tbl>
    <w:p>
      <w:pPr>
        <w:spacing w:after="200" w:before="40" w:line="276"/>
        <w:jc w:val="both"/>
      </w:pPr>
      <w:r>
        <w:rPr>
          <w:rFonts w:ascii="Arial" w:cs="Arial" w:eastAsia="Arial" w:hAnsi="Arial"/>
          <w:b w:val="false"/>
          <w:bCs w:val="false"/>
          <w:i/>
          <w:iCs/>
          <w:color w:val="333333"/>
          <w:sz w:val="16"/>
          <w:szCs w:val="16"/>
        </w:rPr>
        <w:t xml:space="preserve">*Assumes new borrowing at 5% interest with 15-year amortization.</w:t>
      </w:r>
    </w:p>
    <w:p>
      <w:pPr>
        <w:spacing w:after="160" w:before="0" w:line="276"/>
        <w:jc w:val="both"/>
      </w:pPr>
      <w:r>
        <w:rPr>
          <w:rFonts w:ascii="Arial" w:cs="Arial" w:eastAsia="Arial" w:hAnsi="Arial"/>
          <w:b w:val="false"/>
          <w:bCs w:val="false"/>
          <w:i w:val="false"/>
          <w:iCs w:val="false"/>
          <w:color w:val="333333"/>
          <w:sz w:val="22"/>
          <w:szCs w:val="22"/>
        </w:rPr>
        <w:t xml:space="preserve">Fiscal space remained substantial by conventional metrics but was </w:t>
      </w:r>
      <w:r>
        <w:rPr>
          <w:rFonts w:ascii="Arial" w:cs="Arial" w:eastAsia="Arial" w:hAnsi="Arial"/>
          <w:b/>
          <w:bCs/>
          <w:i w:val="false"/>
          <w:iCs w:val="false"/>
          <w:color w:val="333333"/>
          <w:sz w:val="22"/>
          <w:szCs w:val="22"/>
        </w:rPr>
        <w:t xml:space="preserve">narrowing</w:t>
      </w:r>
      <w:r>
        <w:rPr>
          <w:rFonts w:ascii="Arial" w:cs="Arial" w:eastAsia="Arial" w:hAnsi="Arial"/>
          <w:b w:val="false"/>
          <w:bCs w:val="false"/>
          <w:i w:val="false"/>
          <w:iCs w:val="false"/>
          <w:color w:val="333333"/>
          <w:sz w:val="22"/>
          <w:szCs w:val="22"/>
        </w:rPr>
        <w:t xml:space="preserve">. The debt-to-revenue ratio rose from ~14.5% to 19.1% in a single year. More importantly, the undisbursed portions of existing commitments (IBRD Carretera del Litoral, Valle de La Esperanza) represented future debt that was already authorized but not yet on the books.</w:t>
      </w:r>
    </w:p>
    <w:p>
      <w:pPr>
        <w:pStyle w:val="Heading3"/>
        <w:spacing w:after="120" w:before="240" w:line="276"/>
        <w:jc w:val="both"/>
      </w:pPr>
      <w:r>
        <w:rPr>
          <w:rFonts w:ascii="Arial" w:cs="Arial" w:eastAsia="Arial" w:hAnsi="Arial"/>
          <w:b/>
          <w:bCs/>
          <w:i w:val="false"/>
          <w:iCs w:val="false"/>
          <w:color w:val="404040"/>
          <w:sz w:val="24"/>
          <w:szCs w:val="24"/>
        </w:rPr>
        <w:t xml:space="preserve">4.4 Contingent Liabilities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3160"/>
      </w:tblGrid>
      <w:tr>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Commitment</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Authorized</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Disbursed (end-1956)</w:t>
            </w:r>
          </w:p>
        </w:tc>
        <w:tc>
          <w:tcPr>
            <w:tcW w:type="dxa" w:w="31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Outstanding</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Valle de La Esperanza bonds</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₡11,150,000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₡7,250,000</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₡3,900,000</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IBRD Carretera del Litoral</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[total TBD]</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₡10,556,131</w:t>
            </w:r>
          </w:p>
        </w:tc>
        <w:tc>
          <w:tcPr>
            <w:tcW w:type="dxa" w:w="31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disbursing rapidly</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Letras del Tesoro 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rollover</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₡4,000,000</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perpetual rollover</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Quédanes Fiscales (1922 legacy)</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fixed</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₡193,555</w:t>
            </w:r>
          </w:p>
        </w:tc>
        <w:tc>
          <w:tcPr>
            <w:tcW w:type="dxa" w:w="31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legacy, static</w:t>
            </w:r>
          </w:p>
        </w:tc>
      </w:tr>
    </w:tbl>
    <w:p>
      <w:pPr>
        <w:spacing w:after="160" w:before="0" w:line="276"/>
        <w:jc w:val="both"/>
      </w:pPr>
      <w:r>
        <w:rPr>
          <w:rFonts w:ascii="Arial" w:cs="Arial" w:eastAsia="Arial" w:hAnsi="Arial"/>
          <w:b w:val="false"/>
          <w:bCs w:val="false"/>
          <w:i w:val="false"/>
          <w:iCs w:val="false"/>
          <w:color w:val="333333"/>
          <w:sz w:val="22"/>
          <w:szCs w:val="22"/>
        </w:rPr>
        <w:t xml:space="preserve">The Valle de La Esperanza still had ₡3.9M in authorized but unissued bonds. The IBRD loan was disbursing rapidly and the total authorization had not yet been reached. Together, these contingent liabilities represented significant future debt accumulation beyond the ₡32.6M already on the books.</w:t>
      </w:r>
    </w:p>
    <w:p>
      <w:pPr>
        <w:pStyle w:val="Heading3"/>
        <w:spacing w:after="120" w:before="240" w:line="276"/>
        <w:jc w:val="both"/>
      </w:pPr>
      <w:r>
        <w:rPr>
          <w:rFonts w:ascii="Arial" w:cs="Arial" w:eastAsia="Arial" w:hAnsi="Arial"/>
          <w:b/>
          <w:bCs/>
          <w:i w:val="false"/>
          <w:iCs w:val="false"/>
          <w:color w:val="404040"/>
          <w:sz w:val="24"/>
          <w:szCs w:val="24"/>
        </w:rPr>
        <w:t xml:space="preserve">4.5 The 1922 Loan: A 34-Year Burden</w:t>
      </w:r>
    </w:p>
    <w:p>
      <w:pPr>
        <w:spacing w:after="160" w:before="0" w:line="276"/>
        <w:jc w:val="both"/>
      </w:pPr>
      <w:r>
        <w:rPr>
          <w:rFonts w:ascii="Arial" w:cs="Arial" w:eastAsia="Arial" w:hAnsi="Arial"/>
          <w:b w:val="false"/>
          <w:bCs w:val="false"/>
          <w:i w:val="false"/>
          <w:iCs w:val="false"/>
          <w:color w:val="333333"/>
          <w:sz w:val="22"/>
          <w:szCs w:val="22"/>
        </w:rPr>
        <w:t xml:space="preserve">The Empréstito Nacional de 1922 deserves separate treatment in the sustainability analysis. At end-1956:</w:t>
      </w:r>
    </w:p>
    <w:p>
      <w:pPr>
        <w:spacing w:after="100" w:line="260"/>
        <w:ind w:left="360"/>
        <w:jc w:val="both"/>
      </w:pPr>
      <w:r>
        <w:rPr>
          <w:rFonts w:ascii="Arial" w:cs="Arial" w:eastAsia="Arial" w:hAnsi="Arial"/>
          <w:b w:val="false"/>
          <w:bCs w:val="false"/>
          <w:i w:val="false"/>
          <w:iCs w:val="false"/>
          <w:color w:val="333333"/>
          <w:sz w:val="22"/>
          <w:szCs w:val="22"/>
        </w:rPr>
        <w:t xml:space="preserve">Outstanding principal: ₡10,606,297 (32.5% of total debt)</w:t>
      </w:r>
    </w:p>
    <w:p>
      <w:pPr>
        <w:spacing w:after="100" w:line="260"/>
        <w:ind w:left="360"/>
        <w:jc w:val="both"/>
      </w:pPr>
      <w:r>
        <w:rPr>
          <w:rFonts w:ascii="Arial" w:cs="Arial" w:eastAsia="Arial" w:hAnsi="Arial"/>
          <w:b w:val="false"/>
          <w:bCs w:val="false"/>
          <w:i w:val="false"/>
          <w:iCs w:val="false"/>
          <w:color w:val="333333"/>
          <w:sz w:val="22"/>
          <w:szCs w:val="22"/>
        </w:rPr>
        <w:t xml:space="preserve">Annual service transfer to BCR: ₡2,000,000</w:t>
      </w:r>
    </w:p>
    <w:p>
      <w:pPr>
        <w:spacing w:after="100" w:line="260"/>
        <w:ind w:left="360"/>
        <w:jc w:val="both"/>
      </w:pPr>
      <w:r>
        <w:rPr>
          <w:rFonts w:ascii="Arial" w:cs="Arial" w:eastAsia="Arial" w:hAnsi="Arial"/>
          <w:b w:val="false"/>
          <w:bCs w:val="false"/>
          <w:i w:val="false"/>
          <w:iCs w:val="false"/>
          <w:color w:val="333333"/>
          <w:sz w:val="22"/>
          <w:szCs w:val="22"/>
        </w:rPr>
        <w:t xml:space="preserve">Unpaid interest balance: ₡388,188</w:t>
      </w:r>
    </w:p>
    <w:p>
      <w:pPr>
        <w:spacing w:after="100" w:line="260"/>
        <w:ind w:left="360"/>
        <w:jc w:val="both"/>
      </w:pPr>
      <w:r>
        <w:rPr>
          <w:rFonts w:ascii="Arial" w:cs="Arial" w:eastAsia="Arial" w:hAnsi="Arial"/>
          <w:b w:val="false"/>
          <w:bCs w:val="false"/>
          <w:i w:val="false"/>
          <w:iCs w:val="false"/>
          <w:color w:val="333333"/>
          <w:sz w:val="22"/>
          <w:szCs w:val="22"/>
        </w:rPr>
        <w:t xml:space="preserve">Currencies: US dollars (3 coupon rates), pounds sterling, deferred interest certificates</w:t>
      </w:r>
    </w:p>
    <w:p>
      <w:pPr>
        <w:spacing w:after="100" w:line="260"/>
        <w:ind w:left="360"/>
        <w:jc w:val="both"/>
      </w:pPr>
      <w:r>
        <w:rPr>
          <w:rFonts w:ascii="Arial" w:cs="Arial" w:eastAsia="Arial" w:hAnsi="Arial"/>
          <w:b w:val="false"/>
          <w:bCs w:val="false"/>
          <w:i w:val="false"/>
          <w:iCs w:val="false"/>
          <w:color w:val="333333"/>
          <w:sz w:val="22"/>
          <w:szCs w:val="22"/>
        </w:rPr>
        <w:t xml:space="preserve">Holdout creditors from 1933/1936 restructuring still on the books</w:t>
      </w:r>
    </w:p>
    <w:p>
      <w:pPr>
        <w:spacing w:after="160" w:before="0" w:line="276"/>
        <w:jc w:val="both"/>
      </w:pPr>
      <w:r>
        <w:rPr>
          <w:rFonts w:ascii="Arial" w:cs="Arial" w:eastAsia="Arial" w:hAnsi="Arial"/>
          <w:b w:val="false"/>
          <w:bCs w:val="false"/>
          <w:i w:val="false"/>
          <w:iCs w:val="false"/>
          <w:color w:val="333333"/>
          <w:sz w:val="22"/>
          <w:szCs w:val="22"/>
        </w:rPr>
        <w:t xml:space="preserve">The fiscal burden of the 1922 loan was not primarily in its debt-service ratio (which was modest) but in its </w:t>
      </w:r>
      <w:r>
        <w:rPr>
          <w:rFonts w:ascii="Arial" w:cs="Arial" w:eastAsia="Arial" w:hAnsi="Arial"/>
          <w:b/>
          <w:bCs/>
          <w:i w:val="false"/>
          <w:iCs w:val="false"/>
          <w:color w:val="333333"/>
          <w:sz w:val="22"/>
          <w:szCs w:val="22"/>
        </w:rPr>
        <w:t xml:space="preserve">structural persistence</w:t>
      </w:r>
      <w:r>
        <w:rPr>
          <w:rFonts w:ascii="Arial" w:cs="Arial" w:eastAsia="Arial" w:hAnsi="Arial"/>
          <w:b w:val="false"/>
          <w:bCs w:val="false"/>
          <w:i w:val="false"/>
          <w:iCs w:val="false"/>
          <w:color w:val="333333"/>
          <w:sz w:val="22"/>
          <w:szCs w:val="22"/>
        </w:rPr>
        <w:t xml:space="preserve">. The ₡2M annual transfer to the BCR was a fixed charge that had been maintained through the entire 1952–1956 period regardless of revenue conditions. The holdout bondholders represented a legal and reputational overhang. And the multi-currency servicing through the BCR as Agente Fiscal imposed administrative costs on the treasury. As Pleites documented, this loan was the fiscal legacy of a century of elite capture: the government borrowed because it could not tax, and the debt outlasted the circumstances that created it.</w:t>
      </w:r>
    </w:p>
    <w:p>
      <w:r>
        <w:br w:type="page"/>
      </w:r>
    </w:p>
    <w:p>
      <w:pPr>
        <w:pStyle w:val="Heading2"/>
        <w:spacing w:after="160" w:before="300" w:line="276"/>
        <w:jc w:val="both"/>
      </w:pPr>
      <w:r>
        <w:rPr>
          <w:rFonts w:ascii="Arial" w:cs="Arial" w:eastAsia="Arial" w:hAnsi="Arial"/>
          <w:b/>
          <w:bCs/>
          <w:i w:val="false"/>
          <w:iCs w:val="false"/>
          <w:color w:val="2E5090"/>
          <w:sz w:val="28"/>
          <w:szCs w:val="28"/>
        </w:rPr>
        <w:t xml:space="preserve">5. Vulnerability Matrix</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200"/>
        <w:gridCol w:w="1200"/>
        <w:gridCol w:w="28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Factor</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Probability</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Trend</w:t>
            </w:r>
          </w:p>
        </w:tc>
        <w:tc>
          <w:tcPr>
            <w:tcW w:type="dxa" w:w="2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Mitigation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Coffee price shock</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MODERATE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cyclical</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None; no stabilization fund</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concentration</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STRUCTURAL</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worsening</w:t>
            </w:r>
          </w:p>
        </w:tc>
        <w:tc>
          <w:tcPr>
            <w:tcW w:type="dxa" w:w="2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Income tax declining, not rising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Wage bill rigidity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MODERATE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stable</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Quota system provides some control</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Off-budget commitments</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rising</w:t>
            </w:r>
          </w:p>
        </w:tc>
        <w:tc>
          <w:tcPr>
            <w:tcW w:type="dxa" w:w="2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IBRD + Valle de La Esperanza accelerating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sustainability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MODERATE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MODERATE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reversed</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Stock rising; service manageable but growing</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1922 loan persistence</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LOW-MOD</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declining</w:t>
            </w:r>
          </w:p>
        </w:tc>
        <w:tc>
          <w:tcPr>
            <w:tcW w:type="dxa" w:w="2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Being amortized but slowly; holdouts remain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Exchange rate risk</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LOW</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LOW</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stable</w:t>
            </w:r>
          </w:p>
        </w:tc>
        <w:tc>
          <w:tcPr>
            <w:tcW w:type="dxa" w:w="2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Fixed parity at ₡2.50/US$</w:t>
            </w:r>
          </w:p>
        </w:tc>
      </w:tr>
      <w:tr>
        <w:tc>
          <w:tcPr>
            <w:tcW w:type="dxa" w:w="20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Liquidity/cash management</w:t>
            </w:r>
          </w:p>
        </w:tc>
        <w:tc>
          <w:tcPr>
            <w:tcW w:type="dxa" w:w="11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LOW</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MODERATE</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improving</w:t>
            </w:r>
          </w:p>
        </w:tc>
        <w:tc>
          <w:tcPr>
            <w:tcW w:type="dxa" w:w="28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Superávit Financiero nearly doubled</w:t>
            </w:r>
          </w:p>
        </w:tc>
      </w:tr>
    </w:tbl>
    <w:p>
      <w:r>
        <w:br w:type="page"/>
      </w:r>
    </w:p>
    <w:p>
      <w:pPr>
        <w:pStyle w:val="Heading2"/>
        <w:spacing w:after="160" w:before="300" w:line="276"/>
        <w:jc w:val="both"/>
      </w:pPr>
      <w:r>
        <w:rPr>
          <w:rFonts w:ascii="Arial" w:cs="Arial" w:eastAsia="Arial" w:hAnsi="Arial"/>
          <w:b/>
          <w:bCs/>
          <w:i w:val="false"/>
          <w:iCs w:val="false"/>
          <w:color w:val="2E5090"/>
          <w:sz w:val="28"/>
          <w:szCs w:val="28"/>
        </w:rPr>
        <w:t xml:space="preserve">6. Dashboard</w:t>
      </w:r>
    </w:p>
    <w:p>
      <w:pPr>
        <w:spacing w:after="80" w:before="0" w:line="276"/>
        <w:jc w:val="both"/>
      </w:pPr>
      <w:r>
        <w:rPr>
          <w:rFonts w:ascii="Arial" w:cs="Arial" w:eastAsia="Arial" w:hAnsi="Arial"/>
          <w:b/>
          <w:bCs/>
          <w:i w:val="false"/>
          <w:iCs w:val="false"/>
          <w:color w:val="333333"/>
          <w:sz w:val="18"/>
          <w:szCs w:val="18"/>
        </w:rPr>
        <w:t xml:space="preserve">Summary Table — Fiscal Health Indicators, 1955–1956</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960"/>
      </w:tblGrid>
      <w:tr>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1954</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1955</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1956</w:t>
            </w:r>
          </w:p>
        </w:tc>
        <w:tc>
          <w:tcPr>
            <w:tcW w:type="dxa" w:w="19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Signal</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REVENUE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growth (YoY)</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+21.7%</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+3.6%</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U0001F7E1 YELLOW</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Trade tax dependence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~80%</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U0001F534 RED</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Direct tax share</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U0001F534 RED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 / total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U0001F534 RED</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volatility (range)</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 to –1%</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U0001F7E1 YELLOW</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EXPENDITURE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Expenditure growth</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+14.8%</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+7.6%</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–0.2%</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U0001F7E2 GREEN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Wage bill / total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U0001F7E1 YELLOW</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Budget rigidity (rigid+semi)</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~73%</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~72%</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~71%</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U0001F7E1 YELLOW</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Utilization rate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88.5%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~93%</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U0001F7E2 GREEN</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FISCAL BALANCE</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Headline balance / revenue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+10.5%</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U0001F7E2 GREEN</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DEBT</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debt / revenue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~15.5%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~14.5%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19.1%</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U0001F7E2 GREEN</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 / expenditure</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U0001F7E2 GREEN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 / revenue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U0001F7E2 GREEN</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Net debt trajectory</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declining</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declining</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RISING</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U0001F7E1 YELLOW</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1922 loan share of total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32.5%</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U0001F7E1 YELLOW</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STRUCTURAL</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Revenue-to-GDP</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NO DATA</w:t>
            </w:r>
          </w:p>
        </w:tc>
      </w:tr>
      <w:tr>
        <w:tc>
          <w:tcPr>
            <w:tcW w:type="dxa" w:w="28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Debt-to-GDP</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[pending]</w:t>
            </w:r>
          </w:p>
        </w:tc>
        <w:tc>
          <w:tcPr>
            <w:tcW w:type="dxa" w:w="19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NO DATA</w:t>
            </w:r>
          </w:p>
        </w:tc>
      </w:tr>
    </w:tbl>
    <w:p>
      <w:r>
        <w:br w:type="page"/>
      </w:r>
    </w:p>
    <w:p>
      <w:pPr>
        <w:pStyle w:val="Heading2"/>
        <w:spacing w:after="160" w:before="300" w:line="276"/>
        <w:jc w:val="both"/>
      </w:pPr>
      <w:r>
        <w:rPr>
          <w:rFonts w:ascii="Arial" w:cs="Arial" w:eastAsia="Arial" w:hAnsi="Arial"/>
          <w:b/>
          <w:bCs/>
          <w:i w:val="false"/>
          <w:iCs w:val="false"/>
          <w:color w:val="2E5090"/>
          <w:sz w:val="28"/>
          <w:szCs w:val="28"/>
        </w:rPr>
        <w:t xml:space="preserve">7. Assessment</w:t>
      </w:r>
    </w:p>
    <w:p>
      <w:pPr>
        <w:spacing w:after="160" w:before="0" w:line="276"/>
        <w:jc w:val="both"/>
      </w:pPr>
      <w:r>
        <w:rPr>
          <w:rFonts w:ascii="Arial" w:cs="Arial" w:eastAsia="Arial" w:hAnsi="Arial"/>
          <w:b/>
          <w:bCs/>
          <w:i w:val="false"/>
          <w:iCs w:val="false"/>
          <w:color w:val="333333"/>
          <w:sz w:val="22"/>
          <w:szCs w:val="22"/>
        </w:rPr>
        <w:t xml:space="preserve">Overall: </w:t>
      </w:r>
      <w:r>
        <w:rPr>
          <w:rFonts w:ascii="Arial" w:cs="Arial" w:eastAsia="Arial" w:hAnsi="Arial"/>
          <w:b w:val="false"/>
          <w:bCs w:val="false"/>
          <w:i w:val="false"/>
          <w:iCs w:val="false"/>
          <w:color w:val="333333"/>
          <w:sz w:val="22"/>
          <w:szCs w:val="22"/>
        </w:rPr>
        <w:t xml:space="preserve">The fiscal position shifted from “low debt, moderate stress, rising vulnerability” (1954–55) to </w:t>
      </w:r>
      <w:r>
        <w:rPr>
          <w:rFonts w:ascii="Arial" w:cs="Arial" w:eastAsia="Arial" w:hAnsi="Arial"/>
          <w:b/>
          <w:bCs/>
          <w:i w:val="false"/>
          <w:iCs w:val="false"/>
          <w:color w:val="333333"/>
          <w:sz w:val="22"/>
          <w:szCs w:val="22"/>
        </w:rPr>
        <w:t xml:space="preserve">“moderate debt, moderate stress, high vulnerability.”</w:t>
      </w:r>
      <w:r>
        <w:rPr>
          <w:rFonts w:ascii="Arial" w:cs="Arial" w:eastAsia="Arial" w:hAnsi="Arial"/>
          <w:b w:val="false"/>
          <w:bCs w:val="false"/>
          <w:i w:val="false"/>
          <w:iCs w:val="false"/>
          <w:color w:val="333333"/>
          <w:sz w:val="22"/>
          <w:szCs w:val="22"/>
        </w:rPr>
        <w:t xml:space="preserve"> The balance sheet remained strong — the Superávit Financiero nearly doubled — but the underlying dynamics deteriorated in three critical dimensions:</w:t>
      </w:r>
    </w:p>
    <w:p>
      <w:pPr>
        <w:spacing w:after="160" w:before="0" w:line="276"/>
        <w:jc w:val="both"/>
      </w:pPr>
      <w:r>
        <w:rPr>
          <w:rFonts w:ascii="Arial" w:cs="Arial" w:eastAsia="Arial" w:hAnsi="Arial"/>
          <w:b/>
          <w:bCs/>
          <w:i w:val="false"/>
          <w:iCs w:val="false"/>
          <w:color w:val="333333"/>
          <w:sz w:val="22"/>
          <w:szCs w:val="22"/>
        </w:rPr>
        <w:t xml:space="preserve">First, the revenue base became more concentrated rather than more diversified. </w:t>
      </w:r>
      <w:r>
        <w:rPr>
          <w:rFonts w:ascii="Arial" w:cs="Arial" w:eastAsia="Arial" w:hAnsi="Arial"/>
          <w:b w:val="false"/>
          <w:bCs w:val="false"/>
          <w:i w:val="false"/>
          <w:iCs w:val="false"/>
          <w:color w:val="333333"/>
          <w:sz w:val="22"/>
          <w:szCs w:val="22"/>
        </w:rPr>
        <w:t xml:space="preserve">Tax dependence rose to 92.4%, the income tax share fell to 4.1%, and the progressive export tax’s procyclical amplification was confirmed by the 1955 decline. The fiscal system remained a coffee-price transmission mechanism with no countercyclical buffer.</w:t>
      </w:r>
    </w:p>
    <w:p>
      <w:pPr>
        <w:spacing w:after="160" w:before="0" w:line="276"/>
        <w:jc w:val="both"/>
      </w:pPr>
      <w:r>
        <w:rPr>
          <w:rFonts w:ascii="Arial" w:cs="Arial" w:eastAsia="Arial" w:hAnsi="Arial"/>
          <w:b/>
          <w:bCs/>
          <w:i w:val="false"/>
          <w:iCs w:val="false"/>
          <w:color w:val="333333"/>
          <w:sz w:val="22"/>
          <w:szCs w:val="22"/>
        </w:rPr>
        <w:t xml:space="preserve">Second, the debt trajectory reversed. </w:t>
      </w:r>
      <w:r>
        <w:rPr>
          <w:rFonts w:ascii="Arial" w:cs="Arial" w:eastAsia="Arial" w:hAnsi="Arial"/>
          <w:b w:val="false"/>
          <w:bCs w:val="false"/>
          <w:i w:val="false"/>
          <w:iCs w:val="false"/>
          <w:color w:val="333333"/>
          <w:sz w:val="22"/>
          <w:szCs w:val="22"/>
        </w:rPr>
        <w:t xml:space="preserve">After three years of net repayment, total debt rose 36% in 1956, driven by the IBRD Carretera del Litoral loan. While the new borrowing was qualitatively superior to the 1922 legacy (multilateral, project-specific, development-oriented), it represented a structural shift from debt retirement to debt accumulation that would continue through the 1960s and 1970s. Pleites documents that public debt as a share of GDP would climb from its historic low (~2% in 1951–1953) to 18.5% by 1979. The 1956 IBRD loan was the first major step on that trajectory.</w:t>
      </w:r>
    </w:p>
    <w:p>
      <w:pPr>
        <w:spacing w:after="160" w:before="0" w:line="276"/>
        <w:jc w:val="both"/>
      </w:pPr>
      <w:r>
        <w:rPr>
          <w:rFonts w:ascii="Arial" w:cs="Arial" w:eastAsia="Arial" w:hAnsi="Arial"/>
          <w:b/>
          <w:bCs/>
          <w:i w:val="false"/>
          <w:iCs w:val="false"/>
          <w:color w:val="333333"/>
          <w:sz w:val="22"/>
          <w:szCs w:val="22"/>
        </w:rPr>
        <w:t xml:space="preserve">Third, the 1922 loan demonstrated the extraordinary persistence of fiscal burdens. </w:t>
      </w:r>
      <w:r>
        <w:rPr>
          <w:rFonts w:ascii="Arial" w:cs="Arial" w:eastAsia="Arial" w:hAnsi="Arial"/>
          <w:b w:val="false"/>
          <w:bCs w:val="false"/>
          <w:i w:val="false"/>
          <w:iCs w:val="false"/>
          <w:color w:val="333333"/>
          <w:sz w:val="22"/>
          <w:szCs w:val="22"/>
        </w:rPr>
        <w:t xml:space="preserve">Thirty-four years after contraction, the loan still required ₡2M/year in service, involved holdout creditors from a Depression-era restructuring, and carried unpaid interest. The lesson for the Lemus administration — and for the fiscal analysis more broadly — is that borrowing decisions cast shadows measured in decades, not years. The IBRD Carretera del Litoral loan, contracted in 1956, would still be on the books when the civil war began in 1980.</w:t>
      </w:r>
    </w:p>
    <w:p>
      <w:pPr>
        <w:spacing w:after="160" w:before="0" w:line="276"/>
        <w:jc w:val="both"/>
      </w:pPr>
      <w:r>
        <w:rPr>
          <w:rFonts w:ascii="Arial" w:cs="Arial" w:eastAsia="Arial" w:hAnsi="Arial"/>
          <w:b w:val="false"/>
          <w:bCs w:val="false"/>
          <w:i w:val="false"/>
          <w:iCs w:val="false"/>
          <w:color w:val="333333"/>
          <w:sz w:val="22"/>
          <w:szCs w:val="22"/>
        </w:rPr>
        <w:t xml:space="preserve">The critical forward risk was the intersection of two structural features: </w:t>
      </w:r>
      <w:r>
        <w:rPr>
          <w:rFonts w:ascii="Arial" w:cs="Arial" w:eastAsia="Arial" w:hAnsi="Arial"/>
          <w:b/>
          <w:bCs/>
          <w:i w:val="false"/>
          <w:iCs w:val="false"/>
          <w:color w:val="333333"/>
          <w:sz w:val="22"/>
          <w:szCs w:val="22"/>
        </w:rPr>
        <w:t xml:space="preserve">rising off-budget commitments</w:t>
      </w:r>
      <w:r>
        <w:rPr>
          <w:rFonts w:ascii="Arial" w:cs="Arial" w:eastAsia="Arial" w:hAnsi="Arial"/>
          <w:b w:val="false"/>
          <w:bCs w:val="false"/>
          <w:i w:val="false"/>
          <w:iCs w:val="false"/>
          <w:color w:val="333333"/>
          <w:sz w:val="22"/>
          <w:szCs w:val="22"/>
        </w:rPr>
        <w:t xml:space="preserve"> (IBRD, Valle de La Esperanza, with more infrastructure ambitions ahead) and </w:t>
      </w:r>
      <w:r>
        <w:rPr>
          <w:rFonts w:ascii="Arial" w:cs="Arial" w:eastAsia="Arial" w:hAnsi="Arial"/>
          <w:b/>
          <w:bCs/>
          <w:i w:val="false"/>
          <w:iCs w:val="false"/>
          <w:color w:val="333333"/>
          <w:sz w:val="22"/>
          <w:szCs w:val="22"/>
        </w:rPr>
        <w:t xml:space="preserve">volatile, concentrated revenue</w:t>
      </w:r>
      <w:r>
        <w:rPr>
          <w:rFonts w:ascii="Arial" w:cs="Arial" w:eastAsia="Arial" w:hAnsi="Arial"/>
          <w:b w:val="false"/>
          <w:bCs w:val="false"/>
          <w:i w:val="false"/>
          <w:iCs w:val="false"/>
          <w:color w:val="333333"/>
          <w:sz w:val="22"/>
          <w:szCs w:val="22"/>
        </w:rPr>
        <w:t xml:space="preserve"> (80% trade-dependent, no stabilization mechanism, income tax declining). If coffee prices fell significantly — as they would periodically through the 1960s and 1970s — the government would face the familiar dilemma: maintain development spending and borrow more, or cut investment and risk the social legitimacy the MISI model depended on.</w:t>
      </w:r>
    </w:p>
    <w:p>
      <w:pPr>
        <w:spacing w:after="160" w:before="0" w:line="276"/>
        <w:jc w:val="both"/>
      </w:pPr>
      <w:r>
        <w:rPr>
          <w:rFonts w:ascii="Arial" w:cs="Arial" w:eastAsia="Arial" w:hAnsi="Arial"/>
          <w:b/>
          <w:bCs/>
          <w:i w:val="false"/>
          <w:iCs w:val="false"/>
          <w:color w:val="333333"/>
          <w:sz w:val="22"/>
          <w:szCs w:val="22"/>
        </w:rPr>
        <w:t xml:space="preserve">Data gaps: </w:t>
      </w:r>
      <w:r>
        <w:rPr>
          <w:rFonts w:ascii="Arial" w:cs="Arial" w:eastAsia="Arial" w:hAnsi="Arial"/>
          <w:b w:val="false"/>
          <w:bCs w:val="false"/>
          <w:i/>
          <w:iCs/>
          <w:color w:val="333333"/>
          <w:sz w:val="22"/>
          <w:szCs w:val="22"/>
        </w:rPr>
        <w:t xml:space="preserve">GDP series for 1952–1964 from the BCR’s historical national accounts remains critical for computing revenue/GDP, expenditure/GDP, and debt/GDP ratios — the core indicators for cross-country and inter-temporal comparison. The comparative trajectory table in the policy note provides the nominal series; the GDP deflator would enable real analysis.</w:t>
      </w:r>
    </w:p>
    <w:p>
      <w:pPr>
        <w:spacing w:before="400"/>
      </w:pPr>
    </w:p>
    <w:p>
      <w:pPr>
        <w:spacing w:after="160" w:before="0" w:line="276"/>
        <w:jc w:val="center"/>
      </w:pPr>
      <w:r>
        <w:rPr>
          <w:rFonts w:ascii="Arial" w:cs="Arial" w:eastAsia="Arial" w:hAnsi="Arial"/>
          <w:b w:val="false"/>
          <w:bCs w:val="false"/>
          <w:i w:val="false"/>
          <w:iCs w:val="false"/>
          <w:color w:val="333333"/>
          <w:sz w:val="20"/>
          <w:szCs w:val="20"/>
        </w:rPr>
        <w:t xml:space="preserve">———</w:t>
      </w:r>
    </w:p>
    <w:p>
      <w:pPr>
        <w:spacing w:after="160" w:before="0" w:line="276"/>
        <w:jc w:val="both"/>
      </w:pPr>
      <w:r>
        <w:rPr>
          <w:rFonts w:ascii="Arial" w:cs="Arial" w:eastAsia="Arial" w:hAnsi="Arial"/>
          <w:b/>
          <w:bCs/>
          <w:i w:val="false"/>
          <w:iCs w:val="false"/>
          <w:color w:val="333333"/>
          <w:sz w:val="18"/>
          <w:szCs w:val="18"/>
        </w:rPr>
        <w:t xml:space="preserve">Sources: </w:t>
      </w:r>
      <w:r>
        <w:rPr>
          <w:rFonts w:ascii="Arial" w:cs="Arial" w:eastAsia="Arial" w:hAnsi="Arial"/>
          <w:b w:val="false"/>
          <w:bCs w:val="false"/>
          <w:i/>
          <w:iCs/>
          <w:color w:val="333333"/>
          <w:sz w:val="18"/>
          <w:szCs w:val="18"/>
        </w:rPr>
        <w:t xml:space="preserve">Ministerio de Hacienda, Gobierno de El Salvador. Informe Complementario Constitucional, Ejercicio Fiscal 1955–1956 (Bienal). Analytical framework follows IMF Fiscal Transparency Code (2019), IMF Debt Sustainability Analysis for Low-Income Countries framework, and standard public financial management diagnostic methodology.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iCs/>
        <w:color w:val="888888"/>
        <w:sz w:val="18"/>
        <w:szCs w:val="18"/>
      </w:rPr>
      <w:t xml:space="preserve">El Salvador — Fiscal Diagnostic 1955–1956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2026-03-31T10:53:19.637Z</dcterms:created>
  <dcterms:modified xsi:type="dcterms:W3CDTF">2026-03-31T10:53:19.664Z</dcterms:modified>
</cp:coreProperties>
</file>

<file path=docProps/custom.xml><?xml version="1.0" encoding="utf-8"?>
<Properties xmlns="http://schemas.openxmlformats.org/officeDocument/2006/custom-properties" xmlns:vt="http://schemas.openxmlformats.org/officeDocument/2006/docPropsVTypes"/>
</file>