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before="0" w:line="276"/>
        <w:jc w:val="center"/>
      </w:pPr>
      <w:r>
        <w:rPr>
          <w:rFonts w:ascii="Arial" w:cs="Arial" w:eastAsia="Arial" w:hAnsi="Arial"/>
          <w:b/>
          <w:bCs/>
          <w:i w:val="false"/>
          <w:iCs w:val="false"/>
          <w:color w:val="1F3864"/>
          <w:sz w:val="34"/>
          <w:szCs w:val="34"/>
        </w:rPr>
        <w:t xml:space="preserve">El Salvador: Consolidated MISI Spending Analysis, 1952–1958</w:t>
      </w:r>
    </w:p>
    <w:p>
      <w:pPr>
        <w:spacing w:after="300" w:before="0" w:line="276"/>
        <w:jc w:val="center"/>
      </w:pPr>
      <w:r>
        <w:rPr>
          <w:rFonts w:ascii="Arial" w:cs="Arial" w:eastAsia="Arial" w:hAnsi="Arial"/>
          <w:b w:val="false"/>
          <w:bCs w:val="false"/>
          <w:i/>
          <w:iCs/>
          <w:color w:val="555555"/>
          <w:sz w:val="22"/>
          <w:szCs w:val="22"/>
        </w:rPr>
        <w:t xml:space="preserve">Security vs. Social/Development Expenditure under the Military-Industrial Import Substitution Model</w:t>
      </w:r>
    </w:p>
    <w:p>
      <w:pPr>
        <w:spacing w:after="200" w:before="0" w:line="276"/>
        <w:jc w:val="center"/>
      </w:pPr>
      <w:r>
        <w:rPr>
          <w:rFonts w:ascii="Arial" w:cs="Arial" w:eastAsia="Arial" w:hAnsi="Arial"/>
          <w:b w:val="false"/>
          <w:bCs w:val="false"/>
          <w:i w:val="false"/>
          <w:iCs w:val="false"/>
          <w:color w:val="777777"/>
          <w:sz w:val="20"/>
          <w:szCs w:val="20"/>
        </w:rPr>
        <w:t xml:space="preserve">Analytical Note — Based on Memorias de Hacienda Primary Data</w:t>
      </w:r>
    </w:p>
    <w:p>
      <w:pPr>
        <w:spacing w:after="160" w:before="0" w:line="276"/>
        <w:jc w:val="center"/>
      </w:pPr>
      <w:r>
        <w:rPr>
          <w:rFonts w:ascii="Arial" w:cs="Arial" w:eastAsia="Arial" w:hAnsi="Arial"/>
          <w:b w:val="false"/>
          <w:bCs w:val="false"/>
          <w:i w:val="false"/>
          <w:iCs w:val="false"/>
          <w:color w:val="777777"/>
          <w:sz w:val="22"/>
          <w:szCs w:val="22"/>
        </w:rPr>
        <w:t xml:space="preserve">April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1. Framework: Pleites’s Categories</w:t>
      </w:r>
    </w:p>
    <w:p>
      <w:pPr>
        <w:spacing w:after="160" w:before="0" w:line="276"/>
        <w:jc w:val="both"/>
      </w:pPr>
      <w:r>
        <w:rPr>
          <w:rFonts w:ascii="Arial" w:cs="Arial" w:eastAsia="Arial" w:hAnsi="Arial"/>
          <w:b w:val="false"/>
          <w:bCs w:val="false"/>
          <w:i w:val="false"/>
          <w:iCs w:val="false"/>
          <w:color w:val="333333"/>
          <w:sz w:val="22"/>
          <w:szCs w:val="22"/>
        </w:rPr>
        <w:t xml:space="preserve">William Pleites argues that the MISI (Military-Industrial Import Substitution) model that governed El Salvador from 1948 to 1979 rested on a fiscal bargain: the military regime would use coffee-driven revenue to finance both the security apparatus that sustained it in power and the developmental programs (education, health, infrastructure) that legitimized its rule. The central question is how the budget was allocated between these two imperatives, and what happened when revenue contracted.</w:t>
      </w:r>
    </w:p>
    <w:p>
      <w:pPr>
        <w:spacing w:after="160" w:before="0" w:line="276"/>
        <w:jc w:val="both"/>
      </w:pPr>
      <w:r>
        <w:rPr>
          <w:rFonts w:ascii="Arial" w:cs="Arial" w:eastAsia="Arial" w:hAnsi="Arial"/>
          <w:b w:val="false"/>
          <w:bCs w:val="false"/>
          <w:i w:val="false"/>
          <w:iCs w:val="false"/>
          <w:color w:val="333333"/>
          <w:sz w:val="22"/>
          <w:szCs w:val="22"/>
        </w:rPr>
        <w:t xml:space="preserve">Following Pleites, we classify expenditure into three functional categories:</w:t>
      </w:r>
    </w:p>
    <w:p>
      <w:pPr>
        <w:spacing w:after="160" w:before="0" w:line="276"/>
        <w:jc w:val="both"/>
      </w:pPr>
      <w:r>
        <w:rPr>
          <w:rFonts w:ascii="Arial" w:cs="Arial" w:eastAsia="Arial" w:hAnsi="Arial"/>
          <w:b/>
          <w:bCs/>
          <w:i w:val="false"/>
          <w:iCs w:val="false"/>
          <w:color w:val="333333"/>
          <w:sz w:val="22"/>
          <w:szCs w:val="22"/>
        </w:rPr>
        <w:t xml:space="preserve">SECURITY SECTOR: </w:t>
      </w:r>
      <w:r>
        <w:rPr>
          <w:rFonts w:ascii="Arial" w:cs="Arial" w:eastAsia="Arial" w:hAnsi="Arial"/>
          <w:b w:val="false"/>
          <w:bCs w:val="false"/>
          <w:i w:val="false"/>
          <w:iCs w:val="false"/>
          <w:color w:val="333333"/>
          <w:sz w:val="22"/>
          <w:szCs w:val="22"/>
        </w:rPr>
        <w:t xml:space="preserve">Defensa Nacional + Seguridad Pública + Gobernación (estimated security component ~50% of total Gobernación, which includes Guardia Nacional, Policía Nacional, and internal security functions alongside civil governance).</w:t>
      </w:r>
    </w:p>
    <w:p>
      <w:pPr>
        <w:spacing w:after="160" w:before="0" w:line="276"/>
        <w:jc w:val="both"/>
      </w:pPr>
      <w:r>
        <w:rPr>
          <w:rFonts w:ascii="Arial" w:cs="Arial" w:eastAsia="Arial" w:hAnsi="Arial"/>
          <w:b/>
          <w:bCs/>
          <w:i w:val="false"/>
          <w:iCs w:val="false"/>
          <w:color w:val="333333"/>
          <w:sz w:val="22"/>
          <w:szCs w:val="22"/>
        </w:rPr>
        <w:t xml:space="preserve">SOCIAL/DEVELOPMENT SECTOR: </w:t>
      </w:r>
      <w:r>
        <w:rPr>
          <w:rFonts w:ascii="Arial" w:cs="Arial" w:eastAsia="Arial" w:hAnsi="Arial"/>
          <w:b w:val="false"/>
          <w:bCs w:val="false"/>
          <w:i w:val="false"/>
          <w:iCs w:val="false"/>
          <w:color w:val="333333"/>
          <w:sz w:val="22"/>
          <w:szCs w:val="22"/>
        </w:rPr>
        <w:t xml:space="preserve">Cultura Popular (Education) + Salud Pública y Asistencia Social + Obras Públicas + Agricultura y Ganadería. These represent the core developmental functions of the MISI state.</w:t>
      </w:r>
    </w:p>
    <w:p>
      <w:pPr>
        <w:spacing w:after="160" w:before="0" w:line="276"/>
        <w:jc w:val="both"/>
      </w:pPr>
      <w:r>
        <w:rPr>
          <w:rFonts w:ascii="Arial" w:cs="Arial" w:eastAsia="Arial" w:hAnsi="Arial"/>
          <w:b/>
          <w:bCs/>
          <w:i w:val="false"/>
          <w:iCs w:val="false"/>
          <w:color w:val="333333"/>
          <w:sz w:val="22"/>
          <w:szCs w:val="22"/>
        </w:rPr>
        <w:t xml:space="preserve">OTHER: </w:t>
      </w:r>
      <w:r>
        <w:rPr>
          <w:rFonts w:ascii="Arial" w:cs="Arial" w:eastAsia="Arial" w:hAnsi="Arial"/>
          <w:b w:val="false"/>
          <w:bCs w:val="false"/>
          <w:i w:val="false"/>
          <w:iCs w:val="false"/>
          <w:color w:val="333333"/>
          <w:sz w:val="22"/>
          <w:szCs w:val="22"/>
        </w:rPr>
        <w:t xml:space="preserve">Hacienda, Judicial, Presidencia, Relaciones Exteriores, Economía, Trabajo, Clases Pasivas, Deuda Pública — the administrative and financial machinery of the state.</w:t>
      </w:r>
    </w:p>
    <w:p>
      <w:pPr>
        <w:spacing w:after="160" w:before="0" w:line="276"/>
        <w:jc w:val="both"/>
      </w:pPr>
      <w:r>
        <w:rPr>
          <w:rFonts w:ascii="Arial" w:cs="Arial" w:eastAsia="Arial" w:hAnsi="Arial"/>
          <w:b w:val="false"/>
          <w:bCs w:val="false"/>
          <w:i w:val="false"/>
          <w:iCs w:val="false"/>
          <w:color w:val="333333"/>
          <w:sz w:val="22"/>
          <w:szCs w:val="22"/>
        </w:rPr>
        <w:t xml:space="preserve">Pleites reports that under the MAE (Modelo Agro-Exportador, pre-1948), defense and security averaged 31.1% of total expenditure, while under the MISI the average was 11.3%. The question we can now test with primary data is: what was the actual trajectory year by year, and what happened when revenue contracted?</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2. Security vs. Social/Development Spending, 1952–1958</w:t>
      </w:r>
    </w:p>
    <w:p>
      <w:pPr>
        <w:spacing w:after="80" w:before="0" w:line="276"/>
        <w:jc w:val="both"/>
      </w:pPr>
      <w:r>
        <w:rPr>
          <w:rFonts w:ascii="Arial" w:cs="Arial" w:eastAsia="Arial" w:hAnsi="Arial"/>
          <w:b/>
          <w:bCs/>
          <w:i w:val="false"/>
          <w:iCs w:val="false"/>
          <w:color w:val="333333"/>
          <w:sz w:val="18"/>
          <w:szCs w:val="18"/>
        </w:rPr>
        <w:t xml:space="preserve">Table 1. Security Sector Spending (% of Total Expenditure)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Component</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1952</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1953</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1954</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1955-56*</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Defensa Nacional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Seguridad Pública</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3.6%</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3.7%</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Gobernación (security est.)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Security</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~20.3%</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~17.7%</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Defensa alone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r>
    </w:tbl>
    <w:p>
      <w:pPr>
        <w:spacing w:after="200" w:before="40" w:line="276"/>
        <w:jc w:val="both"/>
      </w:pPr>
      <w:r>
        <w:rPr>
          <w:rFonts w:ascii="Arial" w:cs="Arial" w:eastAsia="Arial" w:hAnsi="Arial"/>
          <w:b w:val="false"/>
          <w:bCs w:val="false"/>
          <w:i/>
          <w:iCs/>
          <w:color w:val="333333"/>
          <w:sz w:val="16"/>
          <w:szCs w:val="16"/>
        </w:rPr>
        <w:t xml:space="preserve">Source: Memorias de Hacienda, Estados No. 5 and narrative summaries. *Biennial annual average. †Seguridad Pública reclassified from 1957; may include items previously in Gobernación.</w:t>
      </w:r>
    </w:p>
    <w:p>
      <w:pPr>
        <w:spacing w:after="80" w:before="0" w:line="276"/>
        <w:jc w:val="both"/>
      </w:pPr>
      <w:r>
        <w:rPr>
          <w:rFonts w:ascii="Arial" w:cs="Arial" w:eastAsia="Arial" w:hAnsi="Arial"/>
          <w:b/>
          <w:bCs/>
          <w:i w:val="false"/>
          <w:iCs w:val="false"/>
          <w:color w:val="333333"/>
          <w:sz w:val="18"/>
          <w:szCs w:val="18"/>
        </w:rPr>
        <w:t xml:space="preserve">Table 2. Social/Development Sector Spending (% of Total Expenditure)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Component</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1952</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1953</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1954</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1955-56*</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Education (Cultura Popular)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15.5%</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Health (Salud Pública)</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10.0%</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Public Works (Obras Públicas)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14.9%</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17.6%</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10.1%</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Agriculture</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2.6%</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~2.4%</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Social/Development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46.5%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~46.3%</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29.5%</w:t>
            </w:r>
          </w:p>
        </w:tc>
      </w:tr>
    </w:tbl>
    <w:p>
      <w:pPr>
        <w:spacing w:after="200" w:before="40" w:line="276"/>
        <w:jc w:val="both"/>
      </w:pPr>
      <w:r>
        <w:rPr>
          <w:rFonts w:ascii="Arial" w:cs="Arial" w:eastAsia="Arial" w:hAnsi="Arial"/>
          <w:b w:val="false"/>
          <w:bCs w:val="false"/>
          <w:i/>
          <w:iCs/>
          <w:color w:val="333333"/>
          <w:sz w:val="16"/>
          <w:szCs w:val="16"/>
        </w:rPr>
        <w:t xml:space="preserve">Source: Memorias de Hacienda. *Biennial annual average. Note: 1958 health figure may reflect reclassification.</w:t>
      </w:r>
    </w:p>
    <w:p>
      <w:pPr>
        <w:spacing w:after="80" w:before="0" w:line="276"/>
        <w:jc w:val="both"/>
      </w:pPr>
      <w:r>
        <w:rPr>
          <w:rFonts w:ascii="Arial" w:cs="Arial" w:eastAsia="Arial" w:hAnsi="Arial"/>
          <w:b/>
          <w:bCs/>
          <w:i w:val="false"/>
          <w:iCs w:val="false"/>
          <w:color w:val="333333"/>
          <w:sz w:val="18"/>
          <w:szCs w:val="18"/>
        </w:rPr>
        <w:t xml:space="preserve">Table 3. The Balance: Security vs. Social/Development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9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Indicator</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1952</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1953</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1954</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1955-56</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Security (%)</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~20.4%</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Social/Dev (%)</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46.5%</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43.2%</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~46.3%</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29.5%</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Social exceeds Security by: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10.8pp</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10.8pp</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26.2pp</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25.5pp</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25.6pp</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9.1pp</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6"/>
                <w:szCs w:val="16"/>
              </w:rPr>
              <w:t xml:space="preserve">Ratio Social/Security</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1.5x</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1.5x</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2.3x</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2.4x</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2.2x</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1.4x</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Debt Service (%)</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4.6%</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~5.3%</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17.5%</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Revenue (₡M)</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135.2</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140.3</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167.4</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167.9</w:t>
            </w:r>
          </w:p>
        </w:tc>
        <w:tc>
          <w:tcPr>
            <w:tcW w:type="dxa" w:w="1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189.5</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167.7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 Expenditure (₡M)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112.1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124.1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142.4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153.2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169.0</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184.7</w:t>
            </w:r>
          </w:p>
        </w:tc>
      </w:tr>
    </w:tbl>
    <w:p>
      <w:r>
        <w:br w:type="page"/>
      </w:r>
    </w:p>
    <w:p>
      <w:pPr>
        <w:pStyle w:val="Heading1"/>
        <w:spacing w:after="200" w:before="360" w:line="276"/>
        <w:jc w:val="both"/>
      </w:pPr>
      <w:r>
        <w:rPr>
          <w:rFonts w:ascii="Arial" w:cs="Arial" w:eastAsia="Arial" w:hAnsi="Arial"/>
          <w:b/>
          <w:bCs/>
          <w:i w:val="false"/>
          <w:iCs w:val="false"/>
          <w:color w:val="1F3864"/>
          <w:sz w:val="32"/>
          <w:szCs w:val="32"/>
        </w:rPr>
        <w:t xml:space="preserve">3. What the Data Reveals</w:t>
      </w:r>
    </w:p>
    <w:p>
      <w:pPr>
        <w:pStyle w:val="Heading2"/>
        <w:spacing w:after="160" w:before="300" w:line="276"/>
        <w:jc w:val="both"/>
      </w:pPr>
      <w:r>
        <w:rPr>
          <w:rFonts w:ascii="Arial" w:cs="Arial" w:eastAsia="Arial" w:hAnsi="Arial"/>
          <w:b/>
          <w:bCs/>
          <w:i w:val="false"/>
          <w:iCs w:val="false"/>
          <w:color w:val="2E5090"/>
          <w:sz w:val="28"/>
          <w:szCs w:val="28"/>
        </w:rPr>
        <w:t xml:space="preserve">3.1 Security Spending Was Remarkably Stable</w:t>
      </w:r>
    </w:p>
    <w:p>
      <w:pPr>
        <w:spacing w:after="160" w:before="0" w:line="276"/>
        <w:jc w:val="both"/>
      </w:pPr>
      <w:r>
        <w:rPr>
          <w:rFonts w:ascii="Arial" w:cs="Arial" w:eastAsia="Arial" w:hAnsi="Arial"/>
          <w:b w:val="false"/>
          <w:bCs w:val="false"/>
          <w:i w:val="false"/>
          <w:iCs w:val="false"/>
          <w:color w:val="333333"/>
          <w:sz w:val="22"/>
          <w:szCs w:val="22"/>
        </w:rPr>
        <w:t xml:space="preserve">The consolidated security share hovered between </w:t>
      </w:r>
      <w:r>
        <w:rPr>
          <w:rFonts w:ascii="Arial" w:cs="Arial" w:eastAsia="Arial" w:hAnsi="Arial"/>
          <w:b/>
          <w:bCs/>
          <w:i w:val="false"/>
          <w:iCs w:val="false"/>
          <w:color w:val="333333"/>
          <w:sz w:val="22"/>
          <w:szCs w:val="22"/>
        </w:rPr>
        <w:t xml:space="preserve">17.7% and 20.7%</w:t>
      </w:r>
      <w:r>
        <w:rPr>
          <w:rFonts w:ascii="Arial" w:cs="Arial" w:eastAsia="Arial" w:hAnsi="Arial"/>
          <w:b w:val="false"/>
          <w:bCs w:val="false"/>
          <w:i w:val="false"/>
          <w:iCs w:val="false"/>
          <w:color w:val="333333"/>
          <w:sz w:val="22"/>
          <w:szCs w:val="22"/>
        </w:rPr>
        <w:t xml:space="preserve"> across the entire period. Defense alone declined from 13.2% (1952–1953) to 10.3% (1957–1958), but this decline was partially offset by the apparent growth of Seguridad Pública (from ~3.5% to ~7.0%, likely reflecting reclassification from Gobernación). The net result: the security apparatus consumed approximately one-fifth of the budget regardless of whether revenue was booming or collapsing.</w:t>
      </w:r>
    </w:p>
    <w:p>
      <w:pPr>
        <w:spacing w:after="160" w:before="0" w:line="276"/>
        <w:jc w:val="both"/>
      </w:pPr>
      <w:r>
        <w:rPr>
          <w:rFonts w:ascii="Arial" w:cs="Arial" w:eastAsia="Arial" w:hAnsi="Arial"/>
          <w:b w:val="false"/>
          <w:bCs w:val="false"/>
          <w:i w:val="false"/>
          <w:iCs w:val="false"/>
          <w:color w:val="333333"/>
          <w:sz w:val="22"/>
          <w:szCs w:val="22"/>
        </w:rPr>
        <w:t xml:space="preserve">This is consistent with Pleites’s argument that the military regime’s first fiscal priority was its own survival. The security payroll was politically untouchable — a military government could not cut military salaries without undermining its power base. The ~20% share was the </w:t>
      </w:r>
      <w:r>
        <w:rPr>
          <w:rFonts w:ascii="Arial" w:cs="Arial" w:eastAsia="Arial" w:hAnsi="Arial"/>
          <w:b/>
          <w:bCs/>
          <w:i w:val="false"/>
          <w:iCs w:val="false"/>
          <w:color w:val="333333"/>
          <w:sz w:val="22"/>
          <w:szCs w:val="22"/>
        </w:rPr>
        <w:t xml:space="preserve">floor</w:t>
      </w:r>
      <w:r>
        <w:rPr>
          <w:rFonts w:ascii="Arial" w:cs="Arial" w:eastAsia="Arial" w:hAnsi="Arial"/>
          <w:b w:val="false"/>
          <w:bCs w:val="false"/>
          <w:i w:val="false"/>
          <w:iCs w:val="false"/>
          <w:color w:val="333333"/>
          <w:sz w:val="22"/>
          <w:szCs w:val="22"/>
        </w:rPr>
        <w:t xml:space="preserve">, not the ceiling.</w:t>
      </w:r>
    </w:p>
    <w:p>
      <w:pPr>
        <w:pStyle w:val="Heading2"/>
        <w:spacing w:after="160" w:before="300" w:line="276"/>
        <w:jc w:val="both"/>
      </w:pPr>
      <w:r>
        <w:rPr>
          <w:rFonts w:ascii="Arial" w:cs="Arial" w:eastAsia="Arial" w:hAnsi="Arial"/>
          <w:b/>
          <w:bCs/>
          <w:i w:val="false"/>
          <w:iCs w:val="false"/>
          <w:color w:val="2E5090"/>
          <w:sz w:val="28"/>
          <w:szCs w:val="28"/>
        </w:rPr>
        <w:t xml:space="preserve">3.2 Social/Development Spending Was the Adjustment Variable</w:t>
      </w:r>
    </w:p>
    <w:p>
      <w:pPr>
        <w:spacing w:after="160" w:before="0" w:line="276"/>
        <w:jc w:val="both"/>
      </w:pPr>
      <w:r>
        <w:rPr>
          <w:rFonts w:ascii="Arial" w:cs="Arial" w:eastAsia="Arial" w:hAnsi="Arial"/>
          <w:b w:val="false"/>
          <w:bCs w:val="false"/>
          <w:i w:val="false"/>
          <w:iCs w:val="false"/>
          <w:color w:val="333333"/>
          <w:sz w:val="22"/>
          <w:szCs w:val="22"/>
        </w:rPr>
        <w:t xml:space="preserve">Social/development spending followed a dramatically different trajectory. It rose from ~31.5% (1952–1953) to 46.5% (1954) as the coffee boom funded the developmental ambitions of the Osorio administration. It maintained this elevated level through 1957 (46.3%). Then in 1958, when the coffee crisis hit, </w:t>
      </w:r>
      <w:r>
        <w:rPr>
          <w:rFonts w:ascii="Arial" w:cs="Arial" w:eastAsia="Arial" w:hAnsi="Arial"/>
          <w:b/>
          <w:bCs/>
          <w:i w:val="false"/>
          <w:iCs w:val="false"/>
          <w:color w:val="333333"/>
          <w:sz w:val="22"/>
          <w:szCs w:val="22"/>
        </w:rPr>
        <w:t xml:space="preserve">it collapsed to 29.5%</w:t>
      </w:r>
      <w:r>
        <w:rPr>
          <w:rFonts w:ascii="Arial" w:cs="Arial" w:eastAsia="Arial" w:hAnsi="Arial"/>
          <w:b w:val="false"/>
          <w:bCs w:val="false"/>
          <w:i w:val="false"/>
          <w:iCs w:val="false"/>
          <w:color w:val="333333"/>
          <w:sz w:val="22"/>
          <w:szCs w:val="22"/>
        </w:rPr>
        <w:t xml:space="preserve"> — below the 1952 starting point.</w:t>
      </w:r>
    </w:p>
    <w:p>
      <w:pPr>
        <w:spacing w:after="160" w:before="0" w:line="276"/>
        <w:jc w:val="both"/>
      </w:pPr>
      <w:r>
        <w:rPr>
          <w:rFonts w:ascii="Arial" w:cs="Arial" w:eastAsia="Arial" w:hAnsi="Arial"/>
          <w:b w:val="false"/>
          <w:bCs w:val="false"/>
          <w:i w:val="false"/>
          <w:iCs w:val="false"/>
          <w:color w:val="333333"/>
          <w:sz w:val="22"/>
          <w:szCs w:val="22"/>
        </w:rPr>
        <w:t xml:space="preserve">The components that absorbed the cut were precisely those the developmental model depended on: </w:t>
      </w:r>
      <w:r>
        <w:rPr>
          <w:rFonts w:ascii="Arial" w:cs="Arial" w:eastAsia="Arial" w:hAnsi="Arial"/>
          <w:b/>
          <w:bCs/>
          <w:i w:val="false"/>
          <w:iCs w:val="false"/>
          <w:color w:val="333333"/>
          <w:sz w:val="22"/>
          <w:szCs w:val="22"/>
        </w:rPr>
        <w:t xml:space="preserve">Obras Públicas fell from 17.6% to 10.1%</w:t>
      </w:r>
      <w:r>
        <w:rPr>
          <w:rFonts w:ascii="Arial" w:cs="Arial" w:eastAsia="Arial" w:hAnsi="Arial"/>
          <w:b w:val="false"/>
          <w:bCs w:val="false"/>
          <w:i w:val="false"/>
          <w:iCs w:val="false"/>
          <w:color w:val="333333"/>
          <w:sz w:val="22"/>
          <w:szCs w:val="22"/>
        </w:rPr>
        <w:t xml:space="preserve"> (the infrastructure pipeline), and </w:t>
      </w:r>
      <w:r>
        <w:rPr>
          <w:rFonts w:ascii="Arial" w:cs="Arial" w:eastAsia="Arial" w:hAnsi="Arial"/>
          <w:b/>
          <w:bCs/>
          <w:i w:val="false"/>
          <w:iCs w:val="false"/>
          <w:color w:val="333333"/>
          <w:sz w:val="22"/>
          <w:szCs w:val="22"/>
        </w:rPr>
        <w:t xml:space="preserve">Health from 9.7% to 2.7%</w:t>
      </w:r>
      <w:r>
        <w:rPr>
          <w:rFonts w:ascii="Arial" w:cs="Arial" w:eastAsia="Arial" w:hAnsi="Arial"/>
          <w:b w:val="false"/>
          <w:bCs w:val="false"/>
          <w:i w:val="false"/>
          <w:iCs w:val="false"/>
          <w:color w:val="333333"/>
          <w:sz w:val="22"/>
          <w:szCs w:val="22"/>
        </w:rPr>
        <w:t xml:space="preserve"> (though this may partly reflect reclassification). Education held up better (16.6% → 15.5%), reflecting the difficulty of cutting a geographically distributed teaching force — the personnel rigidity we documented in the salary analysis.</w:t>
      </w:r>
    </w:p>
    <w:p>
      <w:pPr>
        <w:pStyle w:val="Heading2"/>
        <w:spacing w:after="160" w:before="300" w:line="276"/>
        <w:jc w:val="both"/>
      </w:pPr>
      <w:r>
        <w:rPr>
          <w:rFonts w:ascii="Arial" w:cs="Arial" w:eastAsia="Arial" w:hAnsi="Arial"/>
          <w:b/>
          <w:bCs/>
          <w:i w:val="false"/>
          <w:iCs w:val="false"/>
          <w:color w:val="2E5090"/>
          <w:sz w:val="28"/>
          <w:szCs w:val="28"/>
        </w:rPr>
        <w:t xml:space="preserve">3.3 The Rigidity Hypothesis Confirmed</w:t>
      </w:r>
    </w:p>
    <w:p>
      <w:pPr>
        <w:spacing w:after="160" w:before="0" w:line="276"/>
        <w:jc w:val="both"/>
      </w:pPr>
      <w:r>
        <w:rPr>
          <w:rFonts w:ascii="Arial" w:cs="Arial" w:eastAsia="Arial" w:hAnsi="Arial"/>
          <w:b w:val="false"/>
          <w:bCs w:val="false"/>
          <w:i w:val="false"/>
          <w:iCs w:val="false"/>
          <w:color w:val="333333"/>
          <w:sz w:val="22"/>
          <w:szCs w:val="22"/>
        </w:rPr>
        <w:t xml:space="preserve">The 1958 crisis provides a natural experiment for the rigidity hypothesis posed in the 1954 note. The prediction was: </w:t>
      </w:r>
      <w:r>
        <w:rPr>
          <w:rFonts w:ascii="Arial" w:cs="Arial" w:eastAsia="Arial" w:hAnsi="Arial"/>
          <w:b w:val="false"/>
          <w:bCs w:val="false"/>
          <w:i/>
          <w:iCs/>
          <w:color w:val="333333"/>
          <w:sz w:val="22"/>
          <w:szCs w:val="22"/>
        </w:rPr>
        <w:t xml:space="preserve">“In years when revenue contracted, the security payroll would be maintained or even increased, while flexible spending categories (equipment, property, materials) would absorb the adjustment.”</w:t>
      </w:r>
    </w:p>
    <w:p>
      <w:pPr>
        <w:spacing w:after="160" w:before="0" w:line="276"/>
        <w:jc w:val="both"/>
      </w:pPr>
      <w:r>
        <w:rPr>
          <w:rFonts w:ascii="Arial" w:cs="Arial" w:eastAsia="Arial" w:hAnsi="Arial"/>
          <w:b/>
          <w:bCs/>
          <w:i w:val="false"/>
          <w:iCs w:val="false"/>
          <w:color w:val="333333"/>
          <w:sz w:val="22"/>
          <w:szCs w:val="22"/>
        </w:rPr>
        <w:t xml:space="preserve">The result:</w:t>
      </w:r>
    </w:p>
    <w:p>
      <w:pPr>
        <w:spacing w:after="160" w:before="0" w:line="276"/>
        <w:jc w:val="both"/>
      </w:pPr>
      <w:r>
        <w:rPr>
          <w:rFonts w:ascii="Arial" w:cs="Arial" w:eastAsia="Arial" w:hAnsi="Arial"/>
          <w:b/>
          <w:bCs/>
          <w:i w:val="false"/>
          <w:iCs w:val="false"/>
          <w:color w:val="333333"/>
          <w:sz w:val="22"/>
          <w:szCs w:val="22"/>
        </w:rPr>
        <w:t xml:space="preserve">Security spending: 20.7% (1957) → 20.4% (1958) — essentially unchanged. </w:t>
      </w:r>
      <w:r>
        <w:rPr>
          <w:rFonts w:ascii="Arial" w:cs="Arial" w:eastAsia="Arial" w:hAnsi="Arial"/>
          <w:b w:val="false"/>
          <w:bCs w:val="false"/>
          <w:i w:val="false"/>
          <w:iCs w:val="false"/>
          <w:color w:val="333333"/>
          <w:sz w:val="22"/>
          <w:szCs w:val="22"/>
        </w:rPr>
        <w:t xml:space="preserve">The security apparatus was protected.</w:t>
      </w:r>
    </w:p>
    <w:p>
      <w:pPr>
        <w:spacing w:after="160" w:before="0" w:line="276"/>
        <w:jc w:val="both"/>
      </w:pPr>
      <w:r>
        <w:rPr>
          <w:rFonts w:ascii="Arial" w:cs="Arial" w:eastAsia="Arial" w:hAnsi="Arial"/>
          <w:b/>
          <w:bCs/>
          <w:i w:val="false"/>
          <w:iCs w:val="false"/>
          <w:color w:val="333333"/>
          <w:sz w:val="22"/>
          <w:szCs w:val="22"/>
        </w:rPr>
        <w:t xml:space="preserve">Social/development spending: 46.3% (1957) → 29.5% (1958) — collapsed by 16.8 percentage points. </w:t>
      </w:r>
      <w:r>
        <w:rPr>
          <w:rFonts w:ascii="Arial" w:cs="Arial" w:eastAsia="Arial" w:hAnsi="Arial"/>
          <w:b w:val="false"/>
          <w:bCs w:val="false"/>
          <w:i w:val="false"/>
          <w:iCs w:val="false"/>
          <w:color w:val="333333"/>
          <w:sz w:val="22"/>
          <w:szCs w:val="22"/>
        </w:rPr>
        <w:t xml:space="preserve">The developmental program bore the full weight of the adjustment.</w:t>
      </w:r>
    </w:p>
    <w:p>
      <w:pPr>
        <w:spacing w:after="160" w:before="0" w:line="276"/>
        <w:jc w:val="both"/>
      </w:pPr>
      <w:r>
        <w:rPr>
          <w:rFonts w:ascii="Arial" w:cs="Arial" w:eastAsia="Arial" w:hAnsi="Arial"/>
          <w:b/>
          <w:bCs/>
          <w:i w:val="false"/>
          <w:iCs w:val="false"/>
          <w:color w:val="333333"/>
          <w:sz w:val="22"/>
          <w:szCs w:val="22"/>
        </w:rPr>
        <w:t xml:space="preserve">The social-to-security ratio: 2.2x (1957) → 1.4x (1958) — nearly halved. </w:t>
      </w:r>
      <w:r>
        <w:rPr>
          <w:rFonts w:ascii="Arial" w:cs="Arial" w:eastAsia="Arial" w:hAnsi="Arial"/>
          <w:b w:val="false"/>
          <w:bCs w:val="false"/>
          <w:i w:val="false"/>
          <w:iCs w:val="false"/>
          <w:color w:val="333333"/>
          <w:sz w:val="22"/>
          <w:szCs w:val="22"/>
        </w:rPr>
        <w:t xml:space="preserve">The gap between the two sectors, which had widened during the boom years, closed dramatically in a single crisis year.</w:t>
      </w:r>
    </w:p>
    <w:p>
      <w:pPr>
        <w:pStyle w:val="Heading2"/>
        <w:spacing w:after="160" w:before="300" w:line="276"/>
        <w:jc w:val="both"/>
      </w:pPr>
      <w:r>
        <w:rPr>
          <w:rFonts w:ascii="Arial" w:cs="Arial" w:eastAsia="Arial" w:hAnsi="Arial"/>
          <w:b/>
          <w:bCs/>
          <w:i w:val="false"/>
          <w:iCs w:val="false"/>
          <w:color w:val="2E5090"/>
          <w:sz w:val="28"/>
          <w:szCs w:val="28"/>
        </w:rPr>
        <w:t xml:space="preserve">3.4 Debt Service as the Hidden Claimant</w:t>
      </w:r>
    </w:p>
    <w:p>
      <w:pPr>
        <w:spacing w:after="160" w:before="0" w:line="276"/>
        <w:jc w:val="both"/>
      </w:pPr>
      <w:r>
        <w:rPr>
          <w:rFonts w:ascii="Arial" w:cs="Arial" w:eastAsia="Arial" w:hAnsi="Arial"/>
          <w:b w:val="false"/>
          <w:bCs w:val="false"/>
          <w:i w:val="false"/>
          <w:iCs w:val="false"/>
          <w:color w:val="333333"/>
          <w:sz w:val="22"/>
          <w:szCs w:val="22"/>
        </w:rPr>
        <w:t xml:space="preserve">The Deuda Pública ramo jumped from ~5.3% (1957) to 17.5% (1958). Even if this figure includes fund transfers beyond pure debt service, it represents a massive increase in the financial claims on the budget — claims that are contractual and cannot be adjusted. Debt service, security, and personnel together consumed over </w:t>
      </w:r>
      <w:r>
        <w:rPr>
          <w:rFonts w:ascii="Arial" w:cs="Arial" w:eastAsia="Arial" w:hAnsi="Arial"/>
          <w:b/>
          <w:bCs/>
          <w:i w:val="false"/>
          <w:iCs w:val="false"/>
          <w:color w:val="333333"/>
          <w:sz w:val="22"/>
          <w:szCs w:val="22"/>
        </w:rPr>
        <w:t xml:space="preserve">83% of expenditure</w:t>
      </w:r>
      <w:r>
        <w:rPr>
          <w:rFonts w:ascii="Arial" w:cs="Arial" w:eastAsia="Arial" w:hAnsi="Arial"/>
          <w:b w:val="false"/>
          <w:bCs w:val="false"/>
          <w:i w:val="false"/>
          <w:iCs w:val="false"/>
          <w:color w:val="333333"/>
          <w:sz w:val="22"/>
          <w:szCs w:val="22"/>
        </w:rPr>
        <w:t xml:space="preserve"> in 1958, leaving less than 17% for all developmental functions combined.</w:t>
      </w:r>
    </w:p>
    <w:p>
      <w:pPr>
        <w:pStyle w:val="Heading2"/>
        <w:spacing w:after="160" w:before="300" w:line="276"/>
        <w:jc w:val="both"/>
      </w:pPr>
      <w:r>
        <w:rPr>
          <w:rFonts w:ascii="Arial" w:cs="Arial" w:eastAsia="Arial" w:hAnsi="Arial"/>
          <w:b/>
          <w:bCs/>
          <w:i w:val="false"/>
          <w:iCs w:val="false"/>
          <w:color w:val="2E5090"/>
          <w:sz w:val="28"/>
          <w:szCs w:val="28"/>
        </w:rPr>
        <w:t xml:space="preserve">3.5 The MISI Spending Model in Three Phases</w:t>
      </w:r>
    </w:p>
    <w:p>
      <w:pPr>
        <w:spacing w:after="160" w:before="0" w:line="276"/>
        <w:jc w:val="both"/>
      </w:pPr>
      <w:r>
        <w:rPr>
          <w:rFonts w:ascii="Arial" w:cs="Arial" w:eastAsia="Arial" w:hAnsi="Arial"/>
          <w:b/>
          <w:bCs/>
          <w:i w:val="false"/>
          <w:iCs w:val="false"/>
          <w:color w:val="333333"/>
          <w:sz w:val="22"/>
          <w:szCs w:val="22"/>
        </w:rPr>
        <w:t xml:space="preserve">Phase 1 (1952–1953): The Base. </w:t>
      </w:r>
      <w:r>
        <w:rPr>
          <w:rFonts w:ascii="Arial" w:cs="Arial" w:eastAsia="Arial" w:hAnsi="Arial"/>
          <w:b w:val="false"/>
          <w:bCs w:val="false"/>
          <w:i w:val="false"/>
          <w:iCs w:val="false"/>
          <w:color w:val="333333"/>
          <w:sz w:val="22"/>
          <w:szCs w:val="22"/>
        </w:rPr>
        <w:t xml:space="preserve">Security ~21%, Social/Dev ~31%. The security apparatus consumed more than the MAE average (11.3%) suggested by Pleites, but less than the MAE’s historic 31.1%. Social spending was modest. The fiscal model was not yet developmental.</w:t>
      </w:r>
    </w:p>
    <w:p>
      <w:pPr>
        <w:spacing w:after="160" w:before="0" w:line="276"/>
        <w:jc w:val="both"/>
      </w:pPr>
      <w:r>
        <w:rPr>
          <w:rFonts w:ascii="Arial" w:cs="Arial" w:eastAsia="Arial" w:hAnsi="Arial"/>
          <w:b/>
          <w:bCs/>
          <w:i w:val="false"/>
          <w:iCs w:val="false"/>
          <w:color w:val="333333"/>
          <w:sz w:val="22"/>
          <w:szCs w:val="22"/>
        </w:rPr>
        <w:t xml:space="preserve">Phase 2 (1954–1957): The Boom. </w:t>
      </w:r>
      <w:r>
        <w:rPr>
          <w:rFonts w:ascii="Arial" w:cs="Arial" w:eastAsia="Arial" w:hAnsi="Arial"/>
          <w:b w:val="false"/>
          <w:bCs w:val="false"/>
          <w:i w:val="false"/>
          <w:iCs w:val="false"/>
          <w:color w:val="333333"/>
          <w:sz w:val="22"/>
          <w:szCs w:val="22"/>
        </w:rPr>
        <w:t xml:space="preserve">Security declined to ~18–21%, Social/Dev surged to 43–46%. Coffee revenue funded an expansion of education, health, and infrastructure spending that was the core of the MISI’s developmental promise. The social-to-security ratio peaked at 2.4x. This was the fiscal golden age of the MISI.</w:t>
      </w:r>
    </w:p>
    <w:p>
      <w:pPr>
        <w:spacing w:after="160" w:before="0" w:line="276"/>
        <w:jc w:val="both"/>
      </w:pPr>
      <w:r>
        <w:rPr>
          <w:rFonts w:ascii="Arial" w:cs="Arial" w:eastAsia="Arial" w:hAnsi="Arial"/>
          <w:b/>
          <w:bCs/>
          <w:i w:val="false"/>
          <w:iCs w:val="false"/>
          <w:color w:val="333333"/>
          <w:sz w:val="22"/>
          <w:szCs w:val="22"/>
        </w:rPr>
        <w:t xml:space="preserve">Phase 3 (1958): The Crisis. </w:t>
      </w:r>
      <w:r>
        <w:rPr>
          <w:rFonts w:ascii="Arial" w:cs="Arial" w:eastAsia="Arial" w:hAnsi="Arial"/>
          <w:b w:val="false"/>
          <w:bCs w:val="false"/>
          <w:i w:val="false"/>
          <w:iCs w:val="false"/>
          <w:color w:val="333333"/>
          <w:sz w:val="22"/>
          <w:szCs w:val="22"/>
        </w:rPr>
        <w:t xml:space="preserve">Security held at ~20%, Social/Dev collapsed to 29.5%, Debt surged to 17.5%. The developmental program was sacrificed to maintain the security apparatus and service the debt accumulated during the boom. The MISI’s fiscal model revealed its fundamental fragility: the developmental legitimation was funded by a volatile revenue base, while the security foundation was funded by a rigid commitment that survived any downturn.</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4. Implications</w:t>
      </w:r>
    </w:p>
    <w:p>
      <w:pPr>
        <w:spacing w:after="160" w:before="0" w:line="276"/>
        <w:jc w:val="both"/>
      </w:pPr>
      <w:r>
        <w:rPr>
          <w:rFonts w:ascii="Arial" w:cs="Arial" w:eastAsia="Arial" w:hAnsi="Arial"/>
          <w:b/>
          <w:bCs/>
          <w:i w:val="false"/>
          <w:iCs w:val="false"/>
          <w:color w:val="333333"/>
          <w:sz w:val="22"/>
          <w:szCs w:val="22"/>
        </w:rPr>
        <w:t xml:space="preserve">1. Pleites’s MAE-to-MISI transition was real but reversible. </w:t>
      </w:r>
      <w:r>
        <w:rPr>
          <w:rFonts w:ascii="Arial" w:cs="Arial" w:eastAsia="Arial" w:hAnsi="Arial"/>
          <w:b w:val="false"/>
          <w:bCs w:val="false"/>
          <w:i w:val="false"/>
          <w:iCs w:val="false"/>
          <w:color w:val="333333"/>
          <w:sz w:val="22"/>
          <w:szCs w:val="22"/>
        </w:rPr>
        <w:t xml:space="preserve">The shift from security-first (MAE) to development-first (MISI boom) spending was genuine — the social-to-security ratio rose from 1.5x to 2.4x. But it was reversed in a single crisis year, falling back to 1.4x. The developmental program was built on sand: volatile coffee revenue with no structural protection.</w:t>
      </w:r>
    </w:p>
    <w:p>
      <w:pPr>
        <w:spacing w:after="160" w:before="0" w:line="276"/>
        <w:jc w:val="both"/>
      </w:pPr>
      <w:r>
        <w:rPr>
          <w:rFonts w:ascii="Arial" w:cs="Arial" w:eastAsia="Arial" w:hAnsi="Arial"/>
          <w:b/>
          <w:bCs/>
          <w:i w:val="false"/>
          <w:iCs w:val="false"/>
          <w:color w:val="333333"/>
          <w:sz w:val="22"/>
          <w:szCs w:val="22"/>
        </w:rPr>
        <w:t xml:space="preserve">2. The security floor was ~20%, not Pleites’s 11.3%. </w:t>
      </w:r>
      <w:r>
        <w:rPr>
          <w:rFonts w:ascii="Arial" w:cs="Arial" w:eastAsia="Arial" w:hAnsi="Arial"/>
          <w:b w:val="false"/>
          <w:bCs w:val="false"/>
          <w:i w:val="false"/>
          <w:iCs w:val="false"/>
          <w:color w:val="333333"/>
          <w:sz w:val="22"/>
          <w:szCs w:val="22"/>
        </w:rPr>
        <w:t xml:space="preserve">The consolidated security figure (including Seguridad Pública and Gobernación’s security functions) was consistently ~20% — nearly double Pleites’s MISI average of 11.3% for Defensa alone. The broader measure captures the true cost of the military-authoritarian state.</w:t>
      </w:r>
    </w:p>
    <w:p>
      <w:pPr>
        <w:spacing w:after="160" w:before="0" w:line="276"/>
        <w:jc w:val="both"/>
      </w:pPr>
      <w:r>
        <w:rPr>
          <w:rFonts w:ascii="Arial" w:cs="Arial" w:eastAsia="Arial" w:hAnsi="Arial"/>
          <w:b/>
          <w:bCs/>
          <w:i w:val="false"/>
          <w:iCs w:val="false"/>
          <w:color w:val="333333"/>
          <w:sz w:val="22"/>
          <w:szCs w:val="22"/>
        </w:rPr>
        <w:t xml:space="preserve">3. The crisis spending pattern foreshadowed the political crisis. </w:t>
      </w:r>
      <w:r>
        <w:rPr>
          <w:rFonts w:ascii="Arial" w:cs="Arial" w:eastAsia="Arial" w:hAnsi="Arial"/>
          <w:b w:val="false"/>
          <w:bCs w:val="false"/>
          <w:i w:val="false"/>
          <w:iCs w:val="false"/>
          <w:color w:val="333333"/>
          <w:sz w:val="22"/>
          <w:szCs w:val="22"/>
        </w:rPr>
        <w:t xml:space="preserve">By cutting developmental spending while protecting security, the Lemus administration was simultaneously reducing the programs that legitimized the regime and maintaining the coercive apparatus. This is the fiscal expression of the political crisis that Turcios documents in </w:t>
      </w:r>
      <w:r>
        <w:rPr>
          <w:rFonts w:ascii="Arial" w:cs="Arial" w:eastAsia="Arial" w:hAnsi="Arial"/>
          <w:b w:val="false"/>
          <w:bCs w:val="false"/>
          <w:i/>
          <w:iCs/>
          <w:color w:val="333333"/>
          <w:sz w:val="22"/>
          <w:szCs w:val="22"/>
        </w:rPr>
        <w:t xml:space="preserve">Rebelión</w:t>
      </w:r>
      <w:r>
        <w:rPr>
          <w:rFonts w:ascii="Arial" w:cs="Arial" w:eastAsia="Arial" w:hAnsi="Arial"/>
          <w:b w:val="false"/>
          <w:bCs w:val="false"/>
          <w:i w:val="false"/>
          <w:iCs w:val="false"/>
          <w:color w:val="333333"/>
          <w:sz w:val="22"/>
          <w:szCs w:val="22"/>
        </w:rPr>
        <w:t xml:space="preserve">: a government that had lost its developmental justification but retained its repressive capacity. The October 1960 coup ended this unstable equilibrium.</w:t>
      </w:r>
    </w:p>
    <w:p>
      <w:pPr>
        <w:spacing w:after="160" w:before="0" w:line="276"/>
        <w:jc w:val="both"/>
      </w:pPr>
      <w:r>
        <w:rPr>
          <w:rFonts w:ascii="Arial" w:cs="Arial" w:eastAsia="Arial" w:hAnsi="Arial"/>
          <w:b/>
          <w:bCs/>
          <w:i w:val="false"/>
          <w:iCs w:val="false"/>
          <w:color w:val="333333"/>
          <w:sz w:val="22"/>
          <w:szCs w:val="22"/>
        </w:rPr>
        <w:t xml:space="preserve">4. The income tax reform that didn’t happen. </w:t>
      </w:r>
      <w:r>
        <w:rPr>
          <w:rFonts w:ascii="Arial" w:cs="Arial" w:eastAsia="Arial" w:hAnsi="Arial"/>
          <w:b w:val="false"/>
          <w:bCs w:val="false"/>
          <w:i w:val="false"/>
          <w:iCs w:val="false"/>
          <w:color w:val="333333"/>
          <w:sz w:val="22"/>
          <w:szCs w:val="22"/>
        </w:rPr>
        <w:t xml:space="preserve">If the 1951 income tax had been designed with higher corporate rates and without the coffee grower exemption, the revenue loss in 1958 could have been substantially offset, potentially preserving the developmental spending that legitimized the regime. The fiscal-structural choice not to reform the income tax had political consequences measured not in colones but in the survival of the government itself.</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5. Summary Data Tables</w:t>
      </w:r>
    </w:p>
    <w:p>
      <w:pPr>
        <w:spacing w:after="80" w:before="0" w:line="276"/>
        <w:jc w:val="both"/>
      </w:pPr>
      <w:r>
        <w:rPr>
          <w:rFonts w:ascii="Arial" w:cs="Arial" w:eastAsia="Arial" w:hAnsi="Arial"/>
          <w:b/>
          <w:bCs/>
          <w:i w:val="false"/>
          <w:iCs w:val="false"/>
          <w:color w:val="333333"/>
          <w:sz w:val="18"/>
          <w:szCs w:val="18"/>
        </w:rPr>
        <w:t xml:space="preserve">Table 4. Expenditure Shares by Pleites Category, 1952–1958 (% of Total Expenditure)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60"/>
      </w:tblGrid>
      <w:tr>
        <w:tc>
          <w:tcPr>
            <w:tcW w:type="dxa" w:w="2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Category</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1952</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1953</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1954</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1955</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1956</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1957</w:t>
            </w:r>
          </w:p>
        </w:tc>
        <w:tc>
          <w:tcPr>
            <w:tcW w:type="dxa" w:w="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1958</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SECURITY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Defensa</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13.2</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13.4</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~10.6</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~10.4</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10.3</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Seguridad Pública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7.2</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~7.0</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Gobernación (sec.)</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~4.0</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~4.0</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~3.3</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  Total Security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~17.6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~20.7</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~20.4</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SOCIAL/DEVELOPMENT</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Education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18.1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16.6</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15.5</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Health</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3.1</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10.0</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9.7</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Obras Públicas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14.9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15.2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~16.5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17.6</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10.1</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Agriculture</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~2.5</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~2.6</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~2.6</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~2.4</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1.3</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  Total Social/Dev</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~31.5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46.5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~43.0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~43.4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~46.3</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29.5</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OTHER</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Debt Service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~5.3</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17.5</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Admin/Other</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43.2</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43.5</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29.9</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~35.0</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~34.7</w:t>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~27.7</w:t>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32.6</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TOTAL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100</w:t>
            </w:r>
          </w:p>
        </w:tc>
      </w:tr>
      <w:tr>
        <w:tc>
          <w:tcPr>
            <w:tcW w:type="dxa" w:w="2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c>
          <w:tcPr>
            <w:tcW w:type="dxa" w:w="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6"/>
                <w:szCs w:val="16"/>
              </w:rPr>
              <w:t xml:space="preserve"/>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6"/>
                <w:szCs w:val="16"/>
              </w:rPr>
              <w:t xml:space="preserve">Ratio Social/Security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1.5x</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1.5x</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2.3x</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2.4x</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2.5x</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2.2x</w:t>
            </w:r>
          </w:p>
        </w:tc>
        <w:tc>
          <w:tcPr>
            <w:tcW w:type="dxa" w:w="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6"/>
                <w:szCs w:val="16"/>
              </w:rPr>
              <w:t xml:space="preserve">1.4x</w:t>
            </w:r>
          </w:p>
        </w:tc>
      </w:tr>
    </w:tbl>
    <w:p>
      <w:pPr>
        <w:spacing w:after="200" w:before="40" w:line="276"/>
        <w:jc w:val="both"/>
      </w:pPr>
      <w:r>
        <w:rPr>
          <w:rFonts w:ascii="Arial" w:cs="Arial" w:eastAsia="Arial" w:hAnsi="Arial"/>
          <w:b w:val="false"/>
          <w:bCs w:val="false"/>
          <w:i/>
          <w:iCs/>
          <w:color w:val="333333"/>
          <w:sz w:val="16"/>
          <w:szCs w:val="16"/>
        </w:rPr>
        <w:t xml:space="preserve">Source: Memorias de Hacienda 1952–1958. Some figures estimated from narrative summaries. Gobernación security component estimated at ~50% of total. 1955–1956 shown as annual averages from biennial. †Seguridad Pública reclassified from 1957.</w:t>
      </w:r>
    </w:p>
    <w:p>
      <w:pPr>
        <w:spacing w:before="4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 </w:t>
      </w:r>
      <w:r>
        <w:rPr>
          <w:rFonts w:ascii="Arial" w:cs="Arial" w:eastAsia="Arial" w:hAnsi="Arial"/>
          <w:b w:val="false"/>
          <w:bCs w:val="false"/>
          <w:i/>
          <w:iCs/>
          <w:color w:val="333333"/>
          <w:sz w:val="18"/>
          <w:szCs w:val="18"/>
        </w:rPr>
        <w:t xml:space="preserve">Compiled from Memorias de Hacienda 1952–1958. Framework follows Pleites, William. La economía política del ajuste fiscal en El Salvador, 1953–1980.</w:t>
      </w:r>
    </w:p>
    <w:p>
      <w:pPr>
        <w:spacing w:after="160" w:before="0" w:line="276"/>
        <w:jc w:val="both"/>
      </w:pPr>
      <w:r>
        <w:rPr>
          <w:rFonts w:ascii="Arial" w:cs="Arial" w:eastAsia="Arial" w:hAnsi="Arial"/>
          <w:b w:val="false"/>
          <w:bCs w:val="false"/>
          <w:i/>
          <w:iCs/>
          <w:color w:val="333333"/>
          <w:sz w:val="18"/>
          <w:szCs w:val="18"/>
        </w:rPr>
        <w:t xml:space="preserve">Note: Figures for 1952–1953 are less precise due to limited functional disaggregation in those Memorias. The 1957 and 1958 data rely on narrative summaries (Part A) rather than full Estados No. 5. All figures should be treated as estimates subject to revision when detailed Estado No. 5 data is available for all years.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MISI Spending Analysis 1952–1958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2026-04-01T18:20:54.793Z</dcterms:created>
  <dcterms:modified xsi:type="dcterms:W3CDTF">2026-04-01T18:20:54.794Z</dcterms:modified>
</cp:coreProperties>
</file>

<file path=docProps/custom.xml><?xml version="1.0" encoding="utf-8"?>
<Properties xmlns="http://schemas.openxmlformats.org/officeDocument/2006/custom-properties" xmlns:vt="http://schemas.openxmlformats.org/officeDocument/2006/docPropsVTypes"/>
</file>