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before="0" w:line="276"/>
        <w:jc w:val="center"/>
      </w:pPr>
      <w:r>
        <w:rPr>
          <w:rFonts w:ascii="Arial" w:cs="Arial" w:eastAsia="Arial" w:hAnsi="Arial"/>
          <w:b/>
          <w:bCs/>
          <w:i w:val="false"/>
          <w:iCs w:val="false"/>
          <w:color w:val="1F3864"/>
          <w:sz w:val="36"/>
          <w:szCs w:val="36"/>
        </w:rPr>
        <w:t xml:space="preserve">El Salvador: Fiscal Year 1959</w:t>
      </w:r>
    </w:p>
    <w:p>
      <w:pPr>
        <w:spacing w:after="300" w:before="0" w:line="276"/>
        <w:jc w:val="center"/>
      </w:pPr>
      <w:r>
        <w:rPr>
          <w:rFonts w:ascii="Arial" w:cs="Arial" w:eastAsia="Arial" w:hAnsi="Arial"/>
          <w:b w:val="false"/>
          <w:bCs w:val="false"/>
          <w:i/>
          <w:iCs/>
          <w:color w:val="555555"/>
          <w:sz w:val="26"/>
          <w:szCs w:val="26"/>
        </w:rPr>
        <w:t xml:space="preserve">The Last Full Year of the Lemus Administration</w:t>
      </w:r>
    </w:p>
    <w:p>
      <w:pPr>
        <w:spacing w:after="200" w:before="0" w:line="276"/>
        <w:jc w:val="center"/>
      </w:pPr>
      <w:r>
        <w:rPr>
          <w:rFonts w:ascii="Arial" w:cs="Arial" w:eastAsia="Arial" w:hAnsi="Arial"/>
          <w:b w:val="false"/>
          <w:bCs w:val="false"/>
          <w:i w:val="false"/>
          <w:iCs w:val="false"/>
          <w:color w:val="777777"/>
          <w:sz w:val="22"/>
          <w:szCs w:val="22"/>
        </w:rPr>
        <w:t xml:space="preserve">Working Note — Based on Primary Sources</w:t>
      </w:r>
    </w:p>
    <w:p>
      <w:pPr>
        <w:spacing w:after="100" w:before="0" w:line="276"/>
        <w:jc w:val="center"/>
      </w:pPr>
      <w:r>
        <w:rPr>
          <w:rFonts w:ascii="Arial" w:cs="Arial" w:eastAsia="Arial" w:hAnsi="Arial"/>
          <w:b w:val="false"/>
          <w:bCs w:val="false"/>
          <w:i/>
          <w:iCs/>
          <w:color w:val="777777"/>
          <w:sz w:val="20"/>
          <w:szCs w:val="20"/>
        </w:rPr>
        <w:t xml:space="preserve">Ministerio de Hacienda, Gobierno de El Salvador</w:t>
      </w:r>
    </w:p>
    <w:p>
      <w:pPr>
        <w:spacing w:after="160" w:before="0" w:line="276"/>
        <w:jc w:val="center"/>
      </w:pPr>
      <w:r>
        <w:rPr>
          <w:rFonts w:ascii="Arial" w:cs="Arial" w:eastAsia="Arial" w:hAnsi="Arial"/>
          <w:b w:val="false"/>
          <w:bCs w:val="false"/>
          <w:i w:val="false"/>
          <w:iCs w:val="false"/>
          <w:color w:val="777777"/>
          <w:sz w:val="22"/>
          <w:szCs w:val="22"/>
        </w:rPr>
        <w:t xml:space="preserve">April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Political Context</w:t>
      </w:r>
    </w:p>
    <w:p>
      <w:pPr>
        <w:spacing w:after="160" w:before="0" w:line="276"/>
        <w:jc w:val="both"/>
      </w:pPr>
      <w:r>
        <w:rPr>
          <w:rFonts w:ascii="Arial" w:cs="Arial" w:eastAsia="Arial" w:hAnsi="Arial"/>
          <w:b w:val="false"/>
          <w:bCs w:val="false"/>
          <w:i w:val="false"/>
          <w:iCs w:val="false"/>
          <w:color w:val="333333"/>
          <w:sz w:val="22"/>
          <w:szCs w:val="22"/>
        </w:rPr>
        <w:t xml:space="preserve">President: Colonel José María Lemus (1956–1960), PRUD. Third and penultimate full year. Minister of Finance: </w:t>
      </w:r>
      <w:r>
        <w:rPr>
          <w:rFonts w:ascii="Arial" w:cs="Arial" w:eastAsia="Arial" w:hAnsi="Arial"/>
          <w:b/>
          <w:bCs/>
          <w:i w:val="false"/>
          <w:iCs w:val="false"/>
          <w:color w:val="333333"/>
          <w:sz w:val="22"/>
          <w:szCs w:val="22"/>
        </w:rPr>
        <w:t xml:space="preserve">Humberto Costa</w:t>
      </w:r>
      <w:r>
        <w:rPr>
          <w:rFonts w:ascii="Arial" w:cs="Arial" w:eastAsia="Arial" w:hAnsi="Arial"/>
          <w:b w:val="false"/>
          <w:bCs w:val="false"/>
          <w:i w:val="false"/>
          <w:iCs w:val="false"/>
          <w:color w:val="333333"/>
          <w:sz w:val="22"/>
          <w:szCs w:val="22"/>
        </w:rPr>
        <w:t xml:space="preserve"> (signed the Informe on February 29, 1960). Budget authorized by Decreto Legislativo No. 2765, December 17, 1958.</w:t>
      </w:r>
    </w:p>
    <w:p>
      <w:pPr>
        <w:spacing w:after="160" w:before="0" w:line="276"/>
        <w:jc w:val="both"/>
      </w:pPr>
      <w:r>
        <w:rPr>
          <w:rFonts w:ascii="Arial" w:cs="Arial" w:eastAsia="Arial" w:hAnsi="Arial"/>
          <w:b w:val="false"/>
          <w:bCs w:val="false"/>
          <w:i w:val="false"/>
          <w:iCs w:val="false"/>
          <w:color w:val="333333"/>
          <w:sz w:val="22"/>
          <w:szCs w:val="22"/>
        </w:rPr>
        <w:t xml:space="preserve">1959 was the year before the end. The Lemus administration faced its second consecutive year of declining revenue, a widening deficit, and a shrinking surplus. Yet the expenditure data reveals a striking choice: the government </w:t>
      </w:r>
      <w:r>
        <w:rPr>
          <w:rFonts w:ascii="Arial" w:cs="Arial" w:eastAsia="Arial" w:hAnsi="Arial"/>
          <w:b/>
          <w:bCs/>
          <w:i w:val="false"/>
          <w:iCs w:val="false"/>
          <w:color w:val="333333"/>
          <w:sz w:val="22"/>
          <w:szCs w:val="22"/>
        </w:rPr>
        <w:t xml:space="preserve">restored developmental spending while cutting defense to its lowest share in the series</w:t>
      </w:r>
      <w:r>
        <w:rPr>
          <w:rFonts w:ascii="Arial" w:cs="Arial" w:eastAsia="Arial" w:hAnsi="Arial"/>
          <w:b w:val="false"/>
          <w:bCs w:val="false"/>
          <w:i w:val="false"/>
          <w:iCs w:val="false"/>
          <w:color w:val="333333"/>
          <w:sz w:val="22"/>
          <w:szCs w:val="22"/>
        </w:rPr>
        <w:t xml:space="preserve">. This suggests a deliberate attempt to rebuild the legitimacy that the 1958 crisis had eroded — even as the fiscal position continued to deteriorate. As Turcios documents in </w:t>
      </w:r>
      <w:r>
        <w:rPr>
          <w:rFonts w:ascii="Arial" w:cs="Arial" w:eastAsia="Arial" w:hAnsi="Arial"/>
          <w:b w:val="false"/>
          <w:bCs w:val="false"/>
          <w:i/>
          <w:iCs/>
          <w:color w:val="333333"/>
          <w:sz w:val="22"/>
          <w:szCs w:val="22"/>
        </w:rPr>
        <w:t xml:space="preserve">Rebelión</w:t>
      </w:r>
      <w:r>
        <w:rPr>
          <w:rFonts w:ascii="Arial" w:cs="Arial" w:eastAsia="Arial" w:hAnsi="Arial"/>
          <w:b w:val="false"/>
          <w:bCs w:val="false"/>
          <w:i w:val="false"/>
          <w:iCs w:val="false"/>
          <w:color w:val="333333"/>
          <w:sz w:val="22"/>
          <w:szCs w:val="22"/>
        </w:rPr>
        <w:t xml:space="preserve"> (Chapters 5–7), 1959 was the year of intensifying political mobilization that would culminate in the October 1960 coup.</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1. Revenue Structure and Performance</w:t>
      </w:r>
    </w:p>
    <w:p>
      <w:pPr>
        <w:pStyle w:val="Heading2"/>
        <w:spacing w:after="160" w:before="300" w:line="276"/>
        <w:jc w:val="both"/>
      </w:pPr>
      <w:r>
        <w:rPr>
          <w:rFonts w:ascii="Arial" w:cs="Arial" w:eastAsia="Arial" w:hAnsi="Arial"/>
          <w:b/>
          <w:bCs/>
          <w:i w:val="false"/>
          <w:iCs w:val="false"/>
          <w:color w:val="2E5090"/>
          <w:sz w:val="28"/>
          <w:szCs w:val="28"/>
        </w:rPr>
        <w:t xml:space="preserve">1.1 The Second Consecutive Decline</w:t>
      </w:r>
    </w:p>
    <w:p>
      <w:pPr>
        <w:spacing w:after="160" w:before="0" w:line="276"/>
        <w:jc w:val="both"/>
      </w:pPr>
      <w:r>
        <w:rPr>
          <w:rFonts w:ascii="Arial" w:cs="Arial" w:eastAsia="Arial" w:hAnsi="Arial"/>
          <w:b w:val="false"/>
          <w:bCs w:val="false"/>
          <w:i w:val="false"/>
          <w:iCs w:val="false"/>
          <w:color w:val="333333"/>
          <w:sz w:val="22"/>
          <w:szCs w:val="22"/>
        </w:rPr>
        <w:t xml:space="preserve">Total revenue fell to </w:t>
      </w:r>
      <w:r>
        <w:rPr>
          <w:rFonts w:ascii="Arial" w:cs="Arial" w:eastAsia="Arial" w:hAnsi="Arial"/>
          <w:b/>
          <w:bCs/>
          <w:i w:val="false"/>
          <w:iCs w:val="false"/>
          <w:color w:val="333333"/>
          <w:sz w:val="22"/>
          <w:szCs w:val="22"/>
        </w:rPr>
        <w:t xml:space="preserve">₡156,988,480.63</w:t>
      </w:r>
      <w:r>
        <w:rPr>
          <w:rFonts w:ascii="Arial" w:cs="Arial" w:eastAsia="Arial" w:hAnsi="Arial"/>
          <w:b w:val="false"/>
          <w:bCs w:val="false"/>
          <w:i w:val="false"/>
          <w:iCs w:val="false"/>
          <w:color w:val="333333"/>
          <w:sz w:val="22"/>
          <w:szCs w:val="22"/>
        </w:rPr>
        <w:t xml:space="preserve"> — a decline of 6.4% from 1958’s ₡167.7M and 17.2% below the 1957 peak of ₡189.5M. This was the second consecutive year of decline, producing a cumulative loss of ₡32.5M from the 1957 peak. Revenue was now at its lowest level since 1955.</w:t>
      </w:r>
    </w:p>
    <w:p>
      <w:pPr>
        <w:spacing w:after="80" w:before="0" w:line="276"/>
        <w:jc w:val="both"/>
      </w:pPr>
      <w:r>
        <w:rPr>
          <w:rFonts w:ascii="Arial" w:cs="Arial" w:eastAsia="Arial" w:hAnsi="Arial"/>
          <w:b/>
          <w:bCs/>
          <w:i w:val="false"/>
          <w:iCs w:val="false"/>
          <w:color w:val="333333"/>
          <w:sz w:val="18"/>
          <w:szCs w:val="18"/>
        </w:rPr>
        <w:t xml:space="preserve">Table 1. Revenue Composition, Fiscal Year 1959</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60"/>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Revenue Source</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Amount (₡M)</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of Total</w:t>
            </w:r>
          </w:p>
        </w:tc>
        <w:tc>
          <w:tcPr>
            <w:tcW w:type="dxa" w:w="1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vs. 1958</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Derechos de Importación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58.4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37.2%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Derechos de Exportación</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24.8</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15.8%</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−30.1%</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Impuestos Manufacturados y Consumo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17.5%</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Impuesto sobre la Renta y Vialidad</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19.7</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12.6%</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Sucesiones y Donaciones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Other taxes</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5.8</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3.7%</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Impuestos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141.1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89.8%</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Non-tax revenue</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15.9</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10.2%</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157.0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−6.4%</w:t>
            </w:r>
          </w:p>
        </w:tc>
      </w:tr>
    </w:tbl>
    <w:p>
      <w:pPr>
        <w:spacing w:after="200" w:before="40" w:line="276"/>
        <w:jc w:val="both"/>
      </w:pPr>
      <w:r>
        <w:rPr>
          <w:rFonts w:ascii="Arial" w:cs="Arial" w:eastAsia="Arial" w:hAnsi="Arial"/>
          <w:b w:val="false"/>
          <w:bCs w:val="false"/>
          <w:i/>
          <w:iCs/>
          <w:color w:val="333333"/>
          <w:sz w:val="16"/>
          <w:szCs w:val="16"/>
        </w:rPr>
        <w:t xml:space="preserve">Source: Part A narrative; Estado No. 2 (Part B).</w:t>
      </w:r>
    </w:p>
    <w:p>
      <w:pPr>
        <w:pStyle w:val="Heading2"/>
        <w:spacing w:after="160" w:before="300" w:line="276"/>
        <w:jc w:val="both"/>
      </w:pPr>
      <w:r>
        <w:rPr>
          <w:rFonts w:ascii="Arial" w:cs="Arial" w:eastAsia="Arial" w:hAnsi="Arial"/>
          <w:b/>
          <w:bCs/>
          <w:i w:val="false"/>
          <w:iCs w:val="false"/>
          <w:color w:val="2E5090"/>
          <w:sz w:val="28"/>
          <w:szCs w:val="28"/>
        </w:rPr>
        <w:t xml:space="preserve">1.2 Export Duties: The Collapse Continues</w:t>
      </w:r>
    </w:p>
    <w:p>
      <w:pPr>
        <w:spacing w:after="160" w:before="0" w:line="276"/>
        <w:jc w:val="both"/>
      </w:pPr>
      <w:r>
        <w:rPr>
          <w:rFonts w:ascii="Arial" w:cs="Arial" w:eastAsia="Arial" w:hAnsi="Arial"/>
          <w:b w:val="false"/>
          <w:bCs w:val="false"/>
          <w:i w:val="false"/>
          <w:iCs w:val="false"/>
          <w:color w:val="333333"/>
          <w:sz w:val="22"/>
          <w:szCs w:val="22"/>
        </w:rPr>
        <w:t xml:space="preserve">Export duties fell to </w:t>
      </w:r>
      <w:r>
        <w:rPr>
          <w:rFonts w:ascii="Arial" w:cs="Arial" w:eastAsia="Arial" w:hAnsi="Arial"/>
          <w:b/>
          <w:bCs/>
          <w:i w:val="false"/>
          <w:iCs w:val="false"/>
          <w:color w:val="333333"/>
          <w:sz w:val="22"/>
          <w:szCs w:val="22"/>
        </w:rPr>
        <w:t xml:space="preserve">₡24.8 million</w:t>
      </w:r>
      <w:r>
        <w:rPr>
          <w:rFonts w:ascii="Arial" w:cs="Arial" w:eastAsia="Arial" w:hAnsi="Arial"/>
          <w:b w:val="false"/>
          <w:bCs w:val="false"/>
          <w:i w:val="false"/>
          <w:iCs w:val="false"/>
          <w:color w:val="333333"/>
          <w:sz w:val="22"/>
          <w:szCs w:val="22"/>
        </w:rPr>
        <w:t xml:space="preserve"> — down 30% from 1958’s already-depressed ₡35.5M, and </w:t>
      </w:r>
      <w:r>
        <w:rPr>
          <w:rFonts w:ascii="Arial" w:cs="Arial" w:eastAsia="Arial" w:hAnsi="Arial"/>
          <w:b/>
          <w:bCs/>
          <w:i w:val="false"/>
          <w:iCs w:val="false"/>
          <w:color w:val="333333"/>
          <w:sz w:val="22"/>
          <w:szCs w:val="22"/>
        </w:rPr>
        <w:t xml:space="preserve">less than half the 1957 peak of ₡54.6M</w:t>
      </w:r>
      <w:r>
        <w:rPr>
          <w:rFonts w:ascii="Arial" w:cs="Arial" w:eastAsia="Arial" w:hAnsi="Arial"/>
          <w:b w:val="false"/>
          <w:bCs w:val="false"/>
          <w:i w:val="false"/>
          <w:iCs w:val="false"/>
          <w:color w:val="333333"/>
          <w:sz w:val="22"/>
          <w:szCs w:val="22"/>
        </w:rPr>
        <w:t xml:space="preserve">. In two years, export duty revenue had been cut by 55%. Under the fixed exchange rate at ₡2.50/US$, every dollar of coffee price decline translated directly into lost colón revenue with no depreciation buffer.</w:t>
      </w:r>
    </w:p>
    <w:p>
      <w:pPr>
        <w:pStyle w:val="Heading2"/>
        <w:spacing w:after="160" w:before="300" w:line="276"/>
        <w:jc w:val="both"/>
      </w:pPr>
      <w:r>
        <w:rPr>
          <w:rFonts w:ascii="Arial" w:cs="Arial" w:eastAsia="Arial" w:hAnsi="Arial"/>
          <w:b/>
          <w:bCs/>
          <w:i w:val="false"/>
          <w:iCs w:val="false"/>
          <w:color w:val="2E5090"/>
          <w:sz w:val="28"/>
          <w:szCs w:val="28"/>
        </w:rPr>
        <w:t xml:space="preserve">1.3 The Income Tax: Structural Diversification Confirmed</w:t>
      </w:r>
    </w:p>
    <w:p>
      <w:pPr>
        <w:spacing w:after="160" w:before="0" w:line="276"/>
        <w:jc w:val="both"/>
      </w:pPr>
      <w:r>
        <w:rPr>
          <w:rFonts w:ascii="Arial" w:cs="Arial" w:eastAsia="Arial" w:hAnsi="Arial"/>
          <w:b w:val="false"/>
          <w:bCs w:val="false"/>
          <w:i w:val="false"/>
          <w:iCs w:val="false"/>
          <w:color w:val="333333"/>
          <w:sz w:val="22"/>
          <w:szCs w:val="22"/>
        </w:rPr>
        <w:t xml:space="preserve">The income tax reached </w:t>
      </w:r>
      <w:r>
        <w:rPr>
          <w:rFonts w:ascii="Arial" w:cs="Arial" w:eastAsia="Arial" w:hAnsi="Arial"/>
          <w:b/>
          <w:bCs/>
          <w:i w:val="false"/>
          <w:iCs w:val="false"/>
          <w:color w:val="333333"/>
          <w:sz w:val="22"/>
          <w:szCs w:val="22"/>
        </w:rPr>
        <w:t xml:space="preserve">₡19,709,073.40 (12.6% of total revenue)</w:t>
      </w:r>
      <w:r>
        <w:rPr>
          <w:rFonts w:ascii="Arial" w:cs="Arial" w:eastAsia="Arial" w:hAnsi="Arial"/>
          <w:b w:val="false"/>
          <w:bCs w:val="false"/>
          <w:i w:val="false"/>
          <w:iCs w:val="false"/>
          <w:color w:val="333333"/>
          <w:sz w:val="22"/>
          <w:szCs w:val="22"/>
        </w:rPr>
        <w:t xml:space="preserve"> — the third consecutive year of increase, and a new high both in absolute terms and as a share of revenue. The progression: 4.1% (biennial 1955–56), 9.2% (1957), 11.1% (1958), 12.6% (1959). This confirms that the income tax breakthrough was structural and durable, surviving two years of recession. However, the gain (₡1.1M over 1958) was dwarfed by the continued export duty loss (₡10.7M).</w:t>
      </w:r>
    </w:p>
    <w:p>
      <w:pPr>
        <w:pStyle w:val="Heading2"/>
        <w:spacing w:after="160" w:before="300" w:line="276"/>
        <w:jc w:val="both"/>
      </w:pPr>
      <w:r>
        <w:rPr>
          <w:rFonts w:ascii="Arial" w:cs="Arial" w:eastAsia="Arial" w:hAnsi="Arial"/>
          <w:b/>
          <w:bCs/>
          <w:i w:val="false"/>
          <w:iCs w:val="false"/>
          <w:color w:val="2E5090"/>
          <w:sz w:val="28"/>
          <w:szCs w:val="28"/>
        </w:rPr>
        <w:t xml:space="preserve">1.4 Revenue Trend, 1949–1959</w:t>
      </w:r>
    </w:p>
    <w:p>
      <w:pPr>
        <w:spacing w:after="80" w:before="0" w:line="276"/>
        <w:jc w:val="both"/>
      </w:pPr>
      <w:r>
        <w:rPr>
          <w:rFonts w:ascii="Arial" w:cs="Arial" w:eastAsia="Arial" w:hAnsi="Arial"/>
          <w:b/>
          <w:bCs/>
          <w:i w:val="false"/>
          <w:iCs w:val="false"/>
          <w:color w:val="333333"/>
          <w:sz w:val="18"/>
          <w:szCs w:val="18"/>
        </w:rPr>
        <w:t xml:space="preserve">Table 2. Total Revenue, 1949–1959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Fiscal Year</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Revenue (₡M)</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1949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69.2</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83.4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1951</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117.7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1952</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129.7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1953</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137.6</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+21.7%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164.8</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170.6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1958</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157.0</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−6.4%</w:t>
            </w:r>
          </w:p>
        </w:tc>
      </w:tr>
    </w:tbl>
    <w:p>
      <w:pPr>
        <w:spacing w:after="200" w:before="40" w:line="276"/>
        <w:jc w:val="both"/>
      </w:pPr>
      <w:r>
        <w:rPr>
          <w:rFonts w:ascii="Arial" w:cs="Arial" w:eastAsia="Arial" w:hAnsi="Arial"/>
          <w:b w:val="false"/>
          <w:bCs w:val="false"/>
          <w:i/>
          <w:iCs/>
          <w:color w:val="333333"/>
          <w:sz w:val="16"/>
          <w:szCs w:val="16"/>
        </w:rPr>
        <w:t xml:space="preserve">Source: Part A narrative, p. 18.</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2. Expenditure Structure</w:t>
      </w:r>
    </w:p>
    <w:p>
      <w:pPr>
        <w:pStyle w:val="Heading2"/>
        <w:spacing w:after="160" w:before="300" w:line="276"/>
        <w:jc w:val="both"/>
      </w:pPr>
      <w:r>
        <w:rPr>
          <w:rFonts w:ascii="Arial" w:cs="Arial" w:eastAsia="Arial" w:hAnsi="Arial"/>
          <w:b/>
          <w:bCs/>
          <w:i w:val="false"/>
          <w:iCs w:val="false"/>
          <w:color w:val="2E5090"/>
          <w:sz w:val="28"/>
          <w:szCs w:val="28"/>
        </w:rPr>
        <w:t xml:space="preserve">2.1 The Second Consecutive Deficit</w:t>
      </w:r>
    </w:p>
    <w:p>
      <w:pPr>
        <w:spacing w:after="160" w:before="0" w:line="276"/>
        <w:jc w:val="both"/>
      </w:pPr>
      <w:r>
        <w:rPr>
          <w:rFonts w:ascii="Arial" w:cs="Arial" w:eastAsia="Arial" w:hAnsi="Arial"/>
          <w:b w:val="false"/>
          <w:bCs w:val="false"/>
          <w:i w:val="false"/>
          <w:iCs w:val="false"/>
          <w:color w:val="333333"/>
          <w:sz w:val="22"/>
          <w:szCs w:val="22"/>
        </w:rPr>
        <w:t xml:space="preserve">Total expenditure reached </w:t>
      </w:r>
      <w:r>
        <w:rPr>
          <w:rFonts w:ascii="Arial" w:cs="Arial" w:eastAsia="Arial" w:hAnsi="Arial"/>
          <w:b/>
          <w:bCs/>
          <w:i w:val="false"/>
          <w:iCs w:val="false"/>
          <w:color w:val="333333"/>
          <w:sz w:val="22"/>
          <w:szCs w:val="22"/>
        </w:rPr>
        <w:t xml:space="preserve">₡175,813,609.53</w:t>
      </w:r>
      <w:r>
        <w:rPr>
          <w:rFonts w:ascii="Arial" w:cs="Arial" w:eastAsia="Arial" w:hAnsi="Arial"/>
          <w:b w:val="false"/>
          <w:bCs w:val="false"/>
          <w:i w:val="false"/>
          <w:iCs w:val="false"/>
          <w:color w:val="333333"/>
          <w:sz w:val="22"/>
          <w:szCs w:val="22"/>
        </w:rPr>
        <w:t xml:space="preserve">, exceeding revenue by approximately </w:t>
      </w:r>
      <w:r>
        <w:rPr>
          <w:rFonts w:ascii="Arial" w:cs="Arial" w:eastAsia="Arial" w:hAnsi="Arial"/>
          <w:b/>
          <w:bCs/>
          <w:i w:val="false"/>
          <w:iCs w:val="false"/>
          <w:color w:val="333333"/>
          <w:sz w:val="22"/>
          <w:szCs w:val="22"/>
        </w:rPr>
        <w:t xml:space="preserve">₡18.8 million</w:t>
      </w:r>
      <w:r>
        <w:rPr>
          <w:rFonts w:ascii="Arial" w:cs="Arial" w:eastAsia="Arial" w:hAnsi="Arial"/>
          <w:b w:val="false"/>
          <w:bCs w:val="false"/>
          <w:i w:val="false"/>
          <w:iCs w:val="false"/>
          <w:color w:val="333333"/>
          <w:sz w:val="22"/>
          <w:szCs w:val="22"/>
        </w:rPr>
        <w:t xml:space="preserve"> — the second consecutive deficit and larger than 1958’s ₡17M gap. However, expenditure actually </w:t>
      </w:r>
      <w:r>
        <w:rPr>
          <w:rFonts w:ascii="Arial" w:cs="Arial" w:eastAsia="Arial" w:hAnsi="Arial"/>
          <w:b/>
          <w:bCs/>
          <w:i w:val="false"/>
          <w:iCs w:val="false"/>
          <w:color w:val="333333"/>
          <w:sz w:val="22"/>
          <w:szCs w:val="22"/>
        </w:rPr>
        <w:t xml:space="preserve">declined 4.8%</w:t>
      </w:r>
      <w:r>
        <w:rPr>
          <w:rFonts w:ascii="Arial" w:cs="Arial" w:eastAsia="Arial" w:hAnsi="Arial"/>
          <w:b w:val="false"/>
          <w:bCs w:val="false"/>
          <w:i w:val="false"/>
          <w:iCs w:val="false"/>
          <w:color w:val="333333"/>
          <w:sz w:val="22"/>
          <w:szCs w:val="22"/>
        </w:rPr>
        <w:t xml:space="preserve"> from 1958’s ₡184.7M, indicating that the government did attempt fiscal consolidation, but revenue fell faster than spending could be cut.</w:t>
      </w:r>
    </w:p>
    <w:p>
      <w:pPr>
        <w:pStyle w:val="Heading2"/>
        <w:spacing w:after="160" w:before="300" w:line="276"/>
        <w:jc w:val="both"/>
      </w:pPr>
      <w:r>
        <w:rPr>
          <w:rFonts w:ascii="Arial" w:cs="Arial" w:eastAsia="Arial" w:hAnsi="Arial"/>
          <w:b/>
          <w:bCs/>
          <w:i w:val="false"/>
          <w:iCs w:val="false"/>
          <w:color w:val="2E5090"/>
          <w:sz w:val="28"/>
          <w:szCs w:val="28"/>
        </w:rPr>
        <w:t xml:space="preserve">2.2 Expenditure by Economic Class</w:t>
      </w:r>
    </w:p>
    <w:p>
      <w:pPr>
        <w:spacing w:after="80" w:before="0" w:line="276"/>
        <w:jc w:val="both"/>
      </w:pPr>
      <w:r>
        <w:rPr>
          <w:rFonts w:ascii="Arial" w:cs="Arial" w:eastAsia="Arial" w:hAnsi="Arial"/>
          <w:b/>
          <w:bCs/>
          <w:i w:val="false"/>
          <w:iCs w:val="false"/>
          <w:color w:val="333333"/>
          <w:sz w:val="18"/>
          <w:szCs w:val="18"/>
        </w:rPr>
        <w:t xml:space="preserve">Table 3. Expenditure by Economic Class, 1959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Category</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Gastos de Operación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107.7</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65.1%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Salarios Permanentes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74.6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45.1%</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Otros Servicios Personales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12.4</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Servicios No Personales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7.3</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4.4%</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Materiales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8.1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4.9%</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Gratificaciones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5.3</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Gastos de Capital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11.4</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6.9%</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Subvenciones y Subsidios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28.4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Clases Pasivas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Deuda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Egresos que no Representan Gastos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3.6</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165.3</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Estado No. 4/5, p. 22. Note: Total ₡165.3M excludes some items counted in the ₡175.8M narrative total.</w:t>
      </w:r>
    </w:p>
    <w:p>
      <w:pPr>
        <w:spacing w:after="160" w:before="0" w:line="276"/>
        <w:jc w:val="both"/>
      </w:pPr>
      <w:r>
        <w:rPr>
          <w:rFonts w:ascii="Arial" w:cs="Arial" w:eastAsia="Arial" w:hAnsi="Arial"/>
          <w:b w:val="false"/>
          <w:bCs w:val="false"/>
          <w:i w:val="false"/>
          <w:iCs w:val="false"/>
          <w:color w:val="333333"/>
          <w:sz w:val="22"/>
          <w:szCs w:val="22"/>
        </w:rPr>
        <w:t xml:space="preserve">The wage bill (Salarios + Otros) reached </w:t>
      </w:r>
      <w:r>
        <w:rPr>
          <w:rFonts w:ascii="Arial" w:cs="Arial" w:eastAsia="Arial" w:hAnsi="Arial"/>
          <w:b/>
          <w:bCs/>
          <w:i w:val="false"/>
          <w:iCs w:val="false"/>
          <w:color w:val="333333"/>
          <w:sz w:val="22"/>
          <w:szCs w:val="22"/>
        </w:rPr>
        <w:t xml:space="preserve">₡87.0 million or 52.6%</w:t>
      </w:r>
      <w:r>
        <w:rPr>
          <w:rFonts w:ascii="Arial" w:cs="Arial" w:eastAsia="Arial" w:hAnsi="Arial"/>
          <w:b w:val="false"/>
          <w:bCs w:val="false"/>
          <w:i w:val="false"/>
          <w:iCs w:val="false"/>
          <w:color w:val="333333"/>
          <w:sz w:val="22"/>
          <w:szCs w:val="22"/>
        </w:rPr>
        <w:t xml:space="preserve"> of expenditure — the </w:t>
      </w:r>
      <w:r>
        <w:rPr>
          <w:rFonts w:ascii="Arial" w:cs="Arial" w:eastAsia="Arial" w:hAnsi="Arial"/>
          <w:b/>
          <w:bCs/>
          <w:i w:val="false"/>
          <w:iCs w:val="false"/>
          <w:color w:val="333333"/>
          <w:sz w:val="22"/>
          <w:szCs w:val="22"/>
        </w:rPr>
        <w:t xml:space="preserve">highest in the entire series</w:t>
      </w:r>
      <w:r>
        <w:rPr>
          <w:rFonts w:ascii="Arial" w:cs="Arial" w:eastAsia="Arial" w:hAnsi="Arial"/>
          <w:b w:val="false"/>
          <w:bCs w:val="false"/>
          <w:i w:val="false"/>
          <w:iCs w:val="false"/>
          <w:color w:val="333333"/>
          <w:sz w:val="22"/>
          <w:szCs w:val="22"/>
        </w:rPr>
        <w:t xml:space="preserve">, crossing the 50% threshold for the first time. In absolute terms, the salary mass barely changed from 1958 (₡84.2M → ₡87.0M), but as total expenditure declined, the wage bill’s share rose mechanically. This is the ultimate expression of payroll rigidity: the government could cut almost everything else but not the salary mass.</w:t>
      </w:r>
    </w:p>
    <w:p>
      <w:pPr>
        <w:pStyle w:val="Heading2"/>
        <w:spacing w:after="160" w:before="300" w:line="276"/>
        <w:jc w:val="both"/>
      </w:pPr>
      <w:r>
        <w:rPr>
          <w:rFonts w:ascii="Arial" w:cs="Arial" w:eastAsia="Arial" w:hAnsi="Arial"/>
          <w:b/>
          <w:bCs/>
          <w:i w:val="false"/>
          <w:iCs w:val="false"/>
          <w:color w:val="2E5090"/>
          <w:sz w:val="28"/>
          <w:szCs w:val="28"/>
        </w:rPr>
        <w:t xml:space="preserve">2.3 Functional Allocation: The Developmental Recovery</w:t>
      </w:r>
    </w:p>
    <w:p>
      <w:pPr>
        <w:spacing w:after="80" w:before="0" w:line="276"/>
        <w:jc w:val="both"/>
      </w:pPr>
      <w:r>
        <w:rPr>
          <w:rFonts w:ascii="Arial" w:cs="Arial" w:eastAsia="Arial" w:hAnsi="Arial"/>
          <w:b/>
          <w:bCs/>
          <w:i w:val="false"/>
          <w:iCs w:val="false"/>
          <w:color w:val="333333"/>
          <w:sz w:val="18"/>
          <w:szCs w:val="18"/>
        </w:rPr>
        <w:t xml:space="preserve">Table 4. Expenditure by Ministry (Ramo), 1959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Ramo (Ministry/Branch)</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Cultura Popular (Education)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29.2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Obras Públicas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25.9</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14.7%</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Salud Pública y Asistencia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10.4%</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Defensa Nacional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Hacienda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Gobernación</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7.1%</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Economía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~5.6%</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Relaciones Exteriores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~9.9</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~5.6%</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Clases Pasivas y Seguro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Deuda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4.0%</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Seguridad Pública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Other branches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~21.0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~11.7%</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175.8</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p. 21.</w:t>
      </w:r>
    </w:p>
    <w:p>
      <w:pPr>
        <w:spacing w:after="160" w:before="0" w:line="276"/>
        <w:jc w:val="both"/>
      </w:pPr>
      <w:r>
        <w:rPr>
          <w:rFonts w:ascii="Arial" w:cs="Arial" w:eastAsia="Arial" w:hAnsi="Arial"/>
          <w:b w:val="false"/>
          <w:bCs w:val="false"/>
          <w:i w:val="false"/>
          <w:iCs w:val="false"/>
          <w:color w:val="333333"/>
          <w:sz w:val="22"/>
          <w:szCs w:val="22"/>
        </w:rPr>
        <w:t xml:space="preserve">The functional allocation reveals a </w:t>
      </w:r>
      <w:r>
        <w:rPr>
          <w:rFonts w:ascii="Arial" w:cs="Arial" w:eastAsia="Arial" w:hAnsi="Arial"/>
          <w:b/>
          <w:bCs/>
          <w:i w:val="false"/>
          <w:iCs w:val="false"/>
          <w:color w:val="333333"/>
          <w:sz w:val="22"/>
          <w:szCs w:val="22"/>
        </w:rPr>
        <w:t xml:space="preserve">dramatic recovery of developmental spending</w:t>
      </w:r>
      <w:r>
        <w:rPr>
          <w:rFonts w:ascii="Arial" w:cs="Arial" w:eastAsia="Arial" w:hAnsi="Arial"/>
          <w:b w:val="false"/>
          <w:bCs w:val="false"/>
          <w:i w:val="false"/>
          <w:iCs w:val="false"/>
          <w:color w:val="333333"/>
          <w:sz w:val="22"/>
          <w:szCs w:val="22"/>
        </w:rPr>
        <w:t xml:space="preserve"> compared to the 1958 crisis year. Health spending returned to 10.4% (from the anomalous 2.7% in 1958). Obras Públicas recovered to 14.7% (from 10.1%). Education held at 16.6%. Meanwhile, </w:t>
      </w:r>
      <w:r>
        <w:rPr>
          <w:rFonts w:ascii="Arial" w:cs="Arial" w:eastAsia="Arial" w:hAnsi="Arial"/>
          <w:b/>
          <w:bCs/>
          <w:i w:val="false"/>
          <w:iCs w:val="false"/>
          <w:color w:val="333333"/>
          <w:sz w:val="22"/>
          <w:szCs w:val="22"/>
        </w:rPr>
        <w:t xml:space="preserve">Defense fell to 9.3% — the lowest in the entire series</w:t>
      </w:r>
      <w:r>
        <w:rPr>
          <w:rFonts w:ascii="Arial" w:cs="Arial" w:eastAsia="Arial" w:hAnsi="Arial"/>
          <w:b w:val="false"/>
          <w:bCs w:val="false"/>
          <w:i w:val="false"/>
          <w:iCs w:val="false"/>
          <w:color w:val="333333"/>
          <w:sz w:val="22"/>
          <w:szCs w:val="22"/>
        </w:rPr>
        <w:t xml:space="preserve">.</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3. MISI Spending Balance: The Recovery</w:t>
      </w:r>
    </w:p>
    <w:p>
      <w:pPr>
        <w:spacing w:after="80" w:before="0" w:line="276"/>
        <w:jc w:val="both"/>
      </w:pPr>
      <w:r>
        <w:rPr>
          <w:rFonts w:ascii="Arial" w:cs="Arial" w:eastAsia="Arial" w:hAnsi="Arial"/>
          <w:b/>
          <w:bCs/>
          <w:i w:val="false"/>
          <w:iCs w:val="false"/>
          <w:color w:val="333333"/>
          <w:sz w:val="18"/>
          <w:szCs w:val="18"/>
        </w:rPr>
        <w:t xml:space="preserve">Table 5. Security vs. Social/Development, 1957–1959</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1959</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SECURITY</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Defensa Nacional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Seguridad Pública</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Gobernación (security est.)</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Total Security</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~16.2%</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SOCIAL/DEVELOPMENT</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Education</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Health</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Obras Públicas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14.7%</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Agriculture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2.8%</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Total Social/Development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~46.3%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29.5%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44.5%</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Ratio Social/Security</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2.2x</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1.4x</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2.7x</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Revenue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157.0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Fiscal Balance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−18.8</w:t>
            </w:r>
          </w:p>
        </w:tc>
      </w:tr>
    </w:tbl>
    <w:p>
      <w:pPr>
        <w:spacing w:after="160" w:before="0" w:line="276"/>
        <w:jc w:val="both"/>
      </w:pPr>
      <w:r>
        <w:rPr>
          <w:rFonts w:ascii="Arial" w:cs="Arial" w:eastAsia="Arial" w:hAnsi="Arial"/>
          <w:b w:val="false"/>
          <w:bCs w:val="false"/>
          <w:i w:val="false"/>
          <w:iCs w:val="false"/>
          <w:color w:val="333333"/>
          <w:sz w:val="22"/>
          <w:szCs w:val="22"/>
        </w:rPr>
        <w:t xml:space="preserve">The MISI spending balance </w:t>
      </w:r>
      <w:r>
        <w:rPr>
          <w:rFonts w:ascii="Arial" w:cs="Arial" w:eastAsia="Arial" w:hAnsi="Arial"/>
          <w:b/>
          <w:bCs/>
          <w:i w:val="false"/>
          <w:iCs w:val="false"/>
          <w:color w:val="333333"/>
          <w:sz w:val="22"/>
          <w:szCs w:val="22"/>
        </w:rPr>
        <w:t xml:space="preserve">recovered sharply</w:t>
      </w:r>
      <w:r>
        <w:rPr>
          <w:rFonts w:ascii="Arial" w:cs="Arial" w:eastAsia="Arial" w:hAnsi="Arial"/>
          <w:b w:val="false"/>
          <w:bCs w:val="false"/>
          <w:i w:val="false"/>
          <w:iCs w:val="false"/>
          <w:color w:val="333333"/>
          <w:sz w:val="22"/>
          <w:szCs w:val="22"/>
        </w:rPr>
        <w:t xml:space="preserve"> from the 1958 crisis: the social-to-security ratio rose from 1.4x to 2.7x — actually exceeding the 2.2x of the pre-crisis 1957. This recovery was achieved through a combination of: (1) restoring health spending to its normal ~10% level (the 2.7% figure in 1958 appears to have been an anomaly, possibly reflecting reclassification); (2) increasing Obras Públicas from 10.1% to 14.7%; and (3) cutting security spending, with Defense falling to its series low of 9.3% and Seguridad Pública reverting to 3.4% (from ~7% in 1957–1958).</w:t>
      </w:r>
    </w:p>
    <w:p>
      <w:pPr>
        <w:spacing w:after="160" w:before="0" w:line="276"/>
        <w:jc w:val="both"/>
      </w:pPr>
      <w:r>
        <w:rPr>
          <w:rFonts w:ascii="Arial" w:cs="Arial" w:eastAsia="Arial" w:hAnsi="Arial"/>
          <w:b w:val="false"/>
          <w:bCs w:val="false"/>
          <w:i w:val="false"/>
          <w:iCs w:val="false"/>
          <w:color w:val="333333"/>
          <w:sz w:val="22"/>
          <w:szCs w:val="22"/>
        </w:rPr>
        <w:t xml:space="preserve">This pattern is analytically significant for the fiscal-political transmission mechanism: the Lemus administration, facing a second year of fiscal crisis, chose to </w:t>
      </w:r>
      <w:r>
        <w:rPr>
          <w:rFonts w:ascii="Arial" w:cs="Arial" w:eastAsia="Arial" w:hAnsi="Arial"/>
          <w:b/>
          <w:bCs/>
          <w:i w:val="false"/>
          <w:iCs w:val="false"/>
          <w:color w:val="333333"/>
          <w:sz w:val="22"/>
          <w:szCs w:val="22"/>
        </w:rPr>
        <w:t xml:space="preserve">restore developmental legitimacy at the expense of the security apparatus</w:t>
      </w:r>
      <w:r>
        <w:rPr>
          <w:rFonts w:ascii="Arial" w:cs="Arial" w:eastAsia="Arial" w:hAnsi="Arial"/>
          <w:b w:val="false"/>
          <w:bCs w:val="false"/>
          <w:i w:val="false"/>
          <w:iCs w:val="false"/>
          <w:color w:val="333333"/>
          <w:sz w:val="22"/>
          <w:szCs w:val="22"/>
        </w:rPr>
        <w:t xml:space="preserve">. This is the opposite of the 1958 pattern, where development was sacrificed to protect security. The question is whether this choice came too late — Turcios’s account suggests it did.</w:t>
      </w:r>
    </w:p>
    <w:p>
      <w:pPr>
        <w:pStyle w:val="Heading1"/>
        <w:spacing w:after="200" w:before="360" w:line="276"/>
        <w:jc w:val="both"/>
      </w:pPr>
      <w:r>
        <w:rPr>
          <w:rFonts w:ascii="Arial" w:cs="Arial" w:eastAsia="Arial" w:hAnsi="Arial"/>
          <w:b/>
          <w:bCs/>
          <w:i w:val="false"/>
          <w:iCs w:val="false"/>
          <w:color w:val="1F3864"/>
          <w:sz w:val="32"/>
          <w:szCs w:val="32"/>
        </w:rPr>
        <w:t xml:space="preserve">4. Public Debt</w:t>
      </w:r>
    </w:p>
    <w:p>
      <w:pPr>
        <w:spacing w:after="160" w:before="0" w:line="276"/>
        <w:jc w:val="both"/>
      </w:pPr>
      <w:r>
        <w:rPr>
          <w:rFonts w:ascii="Arial" w:cs="Arial" w:eastAsia="Arial" w:hAnsi="Arial"/>
          <w:b w:val="false"/>
          <w:bCs w:val="false"/>
          <w:i w:val="false"/>
          <w:iCs w:val="false"/>
          <w:color w:val="333333"/>
          <w:sz w:val="22"/>
          <w:szCs w:val="22"/>
        </w:rPr>
        <w:t xml:space="preserve">The IBRD Carretera del Litoral loan stood at $10,710,441.86 emitted with $1,181,000 amortized — the loan was now in its amortization phase, with the construction largely complete. The 1922 loan continued its decline, with substantial portions of all bond series already amortized (37 years after contraction). The Letras del Tesoro were being retired (₡2.4M amortized of ₡4.0M). The overall debt trajectory appeared to be stabilizing.</w:t>
      </w:r>
    </w:p>
    <w:p>
      <w:pPr>
        <w:pStyle w:val="Heading1"/>
        <w:spacing w:after="200" w:before="360" w:line="276"/>
        <w:jc w:val="both"/>
      </w:pPr>
      <w:r>
        <w:rPr>
          <w:rFonts w:ascii="Arial" w:cs="Arial" w:eastAsia="Arial" w:hAnsi="Arial"/>
          <w:b/>
          <w:bCs/>
          <w:i w:val="false"/>
          <w:iCs w:val="false"/>
          <w:color w:val="1F3864"/>
          <w:sz w:val="32"/>
          <w:szCs w:val="32"/>
        </w:rPr>
        <w:t xml:space="preserve">5. Fiscal Balance and Surplus Depletion</w:t>
      </w:r>
    </w:p>
    <w:p>
      <w:pPr>
        <w:spacing w:after="80" w:before="0" w:line="276"/>
        <w:jc w:val="both"/>
      </w:pPr>
      <w:r>
        <w:rPr>
          <w:rFonts w:ascii="Arial" w:cs="Arial" w:eastAsia="Arial" w:hAnsi="Arial"/>
          <w:b/>
          <w:bCs/>
          <w:i w:val="false"/>
          <w:iCs w:val="false"/>
          <w:color w:val="333333"/>
          <w:sz w:val="18"/>
          <w:szCs w:val="18"/>
        </w:rPr>
        <w:t xml:space="preserve">Table 6. Surplus Depletion Trajectory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1959</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157.0</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Expenditure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169.0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184.7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175.8</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Annual Balance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−18.8</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Superávit Financiero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45.7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Depletion rate (₡M/yr)</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−18.8</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Years remaining at this rate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~0.7</w:t>
            </w:r>
          </w:p>
        </w:tc>
      </w:tr>
    </w:tbl>
    <w:p>
      <w:pPr>
        <w:spacing w:after="200" w:before="40" w:line="276"/>
        <w:jc w:val="both"/>
      </w:pPr>
      <w:r>
        <w:rPr>
          <w:rFonts w:ascii="Arial" w:cs="Arial" w:eastAsia="Arial" w:hAnsi="Arial"/>
          <w:b w:val="false"/>
          <w:bCs w:val="false"/>
          <w:i/>
          <w:iCs/>
          <w:color w:val="333333"/>
          <w:sz w:val="16"/>
          <w:szCs w:val="16"/>
        </w:rPr>
        <w:t xml:space="preserve">*Estimated: ₡31.2M minus ₡18.8M deficit. Actual may differ due to accrual/cash timing.</w:t>
      </w:r>
    </w:p>
    <w:p>
      <w:pPr>
        <w:spacing w:after="160" w:before="0" w:line="276"/>
        <w:jc w:val="both"/>
      </w:pPr>
      <w:r>
        <w:rPr>
          <w:rFonts w:ascii="Arial" w:cs="Arial" w:eastAsia="Arial" w:hAnsi="Arial"/>
          <w:b w:val="false"/>
          <w:bCs w:val="false"/>
          <w:i w:val="false"/>
          <w:iCs w:val="false"/>
          <w:color w:val="333333"/>
          <w:sz w:val="22"/>
          <w:szCs w:val="22"/>
        </w:rPr>
        <w:t xml:space="preserve">The surplus depletion accelerated. If the estimated ₡12.4M remaining is correct, the surplus buffer would be </w:t>
      </w:r>
      <w:r>
        <w:rPr>
          <w:rFonts w:ascii="Arial" w:cs="Arial" w:eastAsia="Arial" w:hAnsi="Arial"/>
          <w:b/>
          <w:bCs/>
          <w:i w:val="false"/>
          <w:iCs w:val="false"/>
          <w:color w:val="333333"/>
          <w:sz w:val="22"/>
          <w:szCs w:val="22"/>
        </w:rPr>
        <w:t xml:space="preserve">exhausted within less than one year</w:t>
      </w:r>
      <w:r>
        <w:rPr>
          <w:rFonts w:ascii="Arial" w:cs="Arial" w:eastAsia="Arial" w:hAnsi="Arial"/>
          <w:b w:val="false"/>
          <w:bCs w:val="false"/>
          <w:i w:val="false"/>
          <w:iCs w:val="false"/>
          <w:color w:val="333333"/>
          <w:sz w:val="22"/>
          <w:szCs w:val="22"/>
        </w:rPr>
        <w:t xml:space="preserve"> at the 1959 deficit rate. This places fiscal exhaustion in </w:t>
      </w:r>
      <w:r>
        <w:rPr>
          <w:rFonts w:ascii="Arial" w:cs="Arial" w:eastAsia="Arial" w:hAnsi="Arial"/>
          <w:b/>
          <w:bCs/>
          <w:i w:val="false"/>
          <w:iCs w:val="false"/>
          <w:color w:val="333333"/>
          <w:sz w:val="22"/>
          <w:szCs w:val="22"/>
        </w:rPr>
        <w:t xml:space="preserve">mid-to-late 1960</w:t>
      </w:r>
      <w:r>
        <w:rPr>
          <w:rFonts w:ascii="Arial" w:cs="Arial" w:eastAsia="Arial" w:hAnsi="Arial"/>
          <w:b w:val="false"/>
          <w:bCs w:val="false"/>
          <w:i w:val="false"/>
          <w:iCs w:val="false"/>
          <w:color w:val="333333"/>
          <w:sz w:val="22"/>
          <w:szCs w:val="22"/>
        </w:rPr>
        <w:t xml:space="preserve"> — precisely when the political crisis reached its climax and the October 1960 coup ended the Lemus presidency.</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6. Comparative Analysis: 1952–1959 Trajectory</w:t>
      </w:r>
    </w:p>
    <w:p>
      <w:pPr>
        <w:spacing w:after="80" w:before="0" w:line="276"/>
        <w:jc w:val="both"/>
      </w:pPr>
      <w:r>
        <w:rPr>
          <w:rFonts w:ascii="Arial" w:cs="Arial" w:eastAsia="Arial" w:hAnsi="Arial"/>
          <w:b/>
          <w:bCs/>
          <w:i w:val="false"/>
          <w:iCs w:val="false"/>
          <w:color w:val="333333"/>
          <w:sz w:val="18"/>
          <w:szCs w:val="18"/>
        </w:rPr>
        <w:t xml:space="preserve">Table 7. Key Fiscal Indicators, 1952–1959</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1952</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1954</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1959</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Revenue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135.2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157.0</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Expenditure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112.1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142.4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169.0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184.7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175.8</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Fiscal Balance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−18.8</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Wage bill (% exp.)</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48.2%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49.1%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47.7%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45.6%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52.6%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Education (% exp.)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Defense (% exp.)</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Health (% exp.)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10.4%</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Income tax (% rev.)</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Export duties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54.6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24.8</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MISI ratio (Soc/Sec)</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2.3x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2.2x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2.7x</w:t>
            </w:r>
          </w:p>
        </w:tc>
      </w:tr>
    </w:tbl>
    <w:p>
      <w:pPr>
        <w:pStyle w:val="Heading1"/>
        <w:spacing w:after="200" w:before="360" w:line="276"/>
        <w:jc w:val="both"/>
      </w:pPr>
      <w:r>
        <w:rPr>
          <w:rFonts w:ascii="Arial" w:cs="Arial" w:eastAsia="Arial" w:hAnsi="Arial"/>
          <w:b/>
          <w:bCs/>
          <w:i w:val="false"/>
          <w:iCs w:val="false"/>
          <w:color w:val="1F3864"/>
          <w:sz w:val="32"/>
          <w:szCs w:val="32"/>
        </w:rPr>
        <w:t xml:space="preserve">7. Preliminary Observations</w:t>
      </w:r>
    </w:p>
    <w:p>
      <w:pPr>
        <w:spacing w:after="160" w:before="0" w:line="276"/>
        <w:jc w:val="both"/>
      </w:pPr>
      <w:r>
        <w:rPr>
          <w:rFonts w:ascii="Arial" w:cs="Arial" w:eastAsia="Arial" w:hAnsi="Arial"/>
          <w:b/>
          <w:bCs/>
          <w:i w:val="false"/>
          <w:iCs w:val="false"/>
          <w:color w:val="333333"/>
          <w:sz w:val="22"/>
          <w:szCs w:val="22"/>
        </w:rPr>
        <w:t xml:space="preserve">1. The Lemus administration’s fiscal gamble. </w:t>
      </w:r>
      <w:r>
        <w:rPr>
          <w:rFonts w:ascii="Arial" w:cs="Arial" w:eastAsia="Arial" w:hAnsi="Arial"/>
          <w:b w:val="false"/>
          <w:bCs w:val="false"/>
          <w:i w:val="false"/>
          <w:iCs w:val="false"/>
          <w:color w:val="333333"/>
          <w:sz w:val="22"/>
          <w:szCs w:val="22"/>
        </w:rPr>
        <w:t xml:space="preserve">Facing a second consecutive deficit and a rapidly depleting surplus, the government chose to restore developmental spending (health, public works) while cutting defense to its lowest share in the series. This was a bet on legitimacy over austerity — a gamble that the political benefit of maintaining social services would outweigh the fiscal cost. Turcios’s account suggests the gamble failed: the political crisis had already passed the point where fiscal measures could restore stability.</w:t>
      </w:r>
    </w:p>
    <w:p>
      <w:pPr>
        <w:spacing w:after="160" w:before="0" w:line="276"/>
        <w:jc w:val="both"/>
      </w:pPr>
      <w:r>
        <w:rPr>
          <w:rFonts w:ascii="Arial" w:cs="Arial" w:eastAsia="Arial" w:hAnsi="Arial"/>
          <w:b/>
          <w:bCs/>
          <w:i w:val="false"/>
          <w:iCs w:val="false"/>
          <w:color w:val="333333"/>
          <w:sz w:val="22"/>
          <w:szCs w:val="22"/>
        </w:rPr>
        <w:t xml:space="preserve">2. The wage bill crossed 52%. </w:t>
      </w:r>
      <w:r>
        <w:rPr>
          <w:rFonts w:ascii="Arial" w:cs="Arial" w:eastAsia="Arial" w:hAnsi="Arial"/>
          <w:b w:val="false"/>
          <w:bCs w:val="false"/>
          <w:i w:val="false"/>
          <w:iCs w:val="false"/>
          <w:color w:val="333333"/>
          <w:sz w:val="22"/>
          <w:szCs w:val="22"/>
        </w:rPr>
        <w:t xml:space="preserve">For the first time, more than half of all expenditure went to the payroll. This was not because salaries increased dramatically, but because the government cut almost everything else. The wage bill was the immovable object around which all other spending had to adjust.</w:t>
      </w:r>
    </w:p>
    <w:p>
      <w:pPr>
        <w:spacing w:after="160" w:before="0" w:line="276"/>
        <w:jc w:val="both"/>
      </w:pPr>
      <w:r>
        <w:rPr>
          <w:rFonts w:ascii="Arial" w:cs="Arial" w:eastAsia="Arial" w:hAnsi="Arial"/>
          <w:b/>
          <w:bCs/>
          <w:i w:val="false"/>
          <w:iCs w:val="false"/>
          <w:color w:val="333333"/>
          <w:sz w:val="22"/>
          <w:szCs w:val="22"/>
        </w:rPr>
        <w:t xml:space="preserve">3. Export duties halved in two years. </w:t>
      </w:r>
      <w:r>
        <w:rPr>
          <w:rFonts w:ascii="Arial" w:cs="Arial" w:eastAsia="Arial" w:hAnsi="Arial"/>
          <w:b w:val="false"/>
          <w:bCs w:val="false"/>
          <w:i w:val="false"/>
          <w:iCs w:val="false"/>
          <w:color w:val="333333"/>
          <w:sz w:val="22"/>
          <w:szCs w:val="22"/>
        </w:rPr>
        <w:t xml:space="preserve">From ₡54.6M (1957) to ₡24.8M (1959) — a 55% decline. Under the fixed exchange rate at ₡2.50/US$, every dollar of this decline hit the budget directly. The progressive export tax (Decreto 836) amplified the downside exactly as the diagnostics had predicted. The fiscal-political transmission mechanism was operating at full force.</w:t>
      </w:r>
    </w:p>
    <w:p>
      <w:pPr>
        <w:spacing w:after="160" w:before="0" w:line="276"/>
        <w:jc w:val="both"/>
      </w:pPr>
      <w:r>
        <w:rPr>
          <w:rFonts w:ascii="Arial" w:cs="Arial" w:eastAsia="Arial" w:hAnsi="Arial"/>
          <w:b/>
          <w:bCs/>
          <w:i w:val="false"/>
          <w:iCs w:val="false"/>
          <w:color w:val="333333"/>
          <w:sz w:val="22"/>
          <w:szCs w:val="22"/>
        </w:rPr>
        <w:t xml:space="preserve">4. The income tax continued rising. </w:t>
      </w:r>
      <w:r>
        <w:rPr>
          <w:rFonts w:ascii="Arial" w:cs="Arial" w:eastAsia="Arial" w:hAnsi="Arial"/>
          <w:b w:val="false"/>
          <w:bCs w:val="false"/>
          <w:i w:val="false"/>
          <w:iCs w:val="false"/>
          <w:color w:val="333333"/>
          <w:sz w:val="22"/>
          <w:szCs w:val="22"/>
        </w:rPr>
        <w:t xml:space="preserve">At 12.6% of revenue, it was now the third-largest revenue category after import duties and consumption taxes — having overtaken export duties. The structural diversification that began in 1957 was proving durable. But it was not enough: the income tax gained ₡1.1M while export duties lost ₡10.7M.</w:t>
      </w:r>
    </w:p>
    <w:p>
      <w:pPr>
        <w:spacing w:after="160" w:before="0" w:line="276"/>
        <w:jc w:val="both"/>
      </w:pPr>
      <w:r>
        <w:rPr>
          <w:rFonts w:ascii="Arial" w:cs="Arial" w:eastAsia="Arial" w:hAnsi="Arial"/>
          <w:b/>
          <w:bCs/>
          <w:i w:val="false"/>
          <w:iCs w:val="false"/>
          <w:color w:val="333333"/>
          <w:sz w:val="22"/>
          <w:szCs w:val="22"/>
        </w:rPr>
        <w:t xml:space="preserve">5. The surplus is nearly exhausted. </w:t>
      </w:r>
      <w:r>
        <w:rPr>
          <w:rFonts w:ascii="Arial" w:cs="Arial" w:eastAsia="Arial" w:hAnsi="Arial"/>
          <w:b w:val="false"/>
          <w:bCs w:val="false"/>
          <w:i w:val="false"/>
          <w:iCs w:val="false"/>
          <w:color w:val="333333"/>
          <w:sz w:val="22"/>
          <w:szCs w:val="22"/>
        </w:rPr>
        <w:t xml:space="preserve">The estimated remaining Superavit of ~₡12.4M gives the government less than one year of runway at the current deficit rate. Fiscal exhaustion and political crisis were converging on the same timeline: 1960.</w:t>
      </w:r>
    </w:p>
    <w:p>
      <w:pPr>
        <w:spacing w:after="160" w:before="0" w:line="276"/>
        <w:jc w:val="both"/>
      </w:pPr>
      <w:r>
        <w:rPr>
          <w:rFonts w:ascii="Arial" w:cs="Arial" w:eastAsia="Arial" w:hAnsi="Arial"/>
          <w:b/>
          <w:bCs/>
          <w:i w:val="false"/>
          <w:iCs w:val="false"/>
          <w:color w:val="333333"/>
          <w:sz w:val="22"/>
          <w:szCs w:val="22"/>
        </w:rPr>
        <w:t xml:space="preserve">6. The MISI spending recovery was real but unsustainable. </w:t>
      </w:r>
      <w:r>
        <w:rPr>
          <w:rFonts w:ascii="Arial" w:cs="Arial" w:eastAsia="Arial" w:hAnsi="Arial"/>
          <w:b w:val="false"/>
          <w:bCs w:val="false"/>
          <w:i w:val="false"/>
          <w:iCs w:val="false"/>
          <w:color w:val="333333"/>
          <w:sz w:val="22"/>
          <w:szCs w:val="22"/>
        </w:rPr>
        <w:t xml:space="preserve">The social-to-security ratio of 2.7x was the highest since the boom years — achieved by cutting defense while restoring health and infrastructure. But this was financed by burning the last reserves, not by revenue growth. The developmental recovery was paid for with the surplus accumulated during the boom, and when that surplus was gone, neither the development nor the security could be sustained at current levels.</w:t>
      </w:r>
    </w:p>
    <w:p>
      <w:pPr>
        <w:spacing w:after="160" w:before="0" w:line="276"/>
        <w:jc w:val="both"/>
      </w:pPr>
      <w:r>
        <w:rPr>
          <w:rFonts w:ascii="Arial" w:cs="Arial" w:eastAsia="Arial" w:hAnsi="Arial"/>
          <w:b/>
          <w:bCs/>
          <w:i w:val="false"/>
          <w:iCs w:val="false"/>
          <w:color w:val="333333"/>
          <w:sz w:val="22"/>
          <w:szCs w:val="22"/>
        </w:rPr>
        <w:t xml:space="preserve">7. The fixed exchange rate’s role. </w:t>
      </w:r>
      <w:r>
        <w:rPr>
          <w:rFonts w:ascii="Arial" w:cs="Arial" w:eastAsia="Arial" w:hAnsi="Arial"/>
          <w:b w:val="false"/>
          <w:bCs w:val="false"/>
          <w:i w:val="false"/>
          <w:iCs w:val="false"/>
          <w:color w:val="333333"/>
          <w:sz w:val="22"/>
          <w:szCs w:val="22"/>
        </w:rPr>
        <w:t xml:space="preserve">Export duties fell from ₡54.6M to ₡24.8M in two years. A 50% depreciation — from ₡2.50 to ₡3.75 per dollar — would have maintained export duty revenue at approximately ₡37M in colón terms, reducing the cumulative revenue loss by roughly ₡25M. That ₡25M would have been enough to avoid both deficits and preserve the surplus. The fixed exchange rate was not the only cause of the fiscal crisis, but it was the mechanism that prevented automatic stabilization.</w:t>
      </w:r>
    </w:p>
    <w:p>
      <w:pPr>
        <w:spacing w:before="6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 </w:t>
      </w:r>
      <w:r>
        <w:rPr>
          <w:rFonts w:ascii="Arial" w:cs="Arial" w:eastAsia="Arial" w:hAnsi="Arial"/>
          <w:b w:val="false"/>
          <w:bCs w:val="false"/>
          <w:i/>
          <w:iCs/>
          <w:color w:val="333333"/>
          <w:sz w:val="18"/>
          <w:szCs w:val="18"/>
        </w:rPr>
        <w:t xml:space="preserve">Ministerio de Hacienda, Gobierno de El Salvador. Informe Complementario Constitucional, Ejercicio Fiscal de 1959. San Salvador, 29 de febrero de 1960. Signed by Humberto Costa, Ministro de Hacienda.</w:t>
      </w:r>
    </w:p>
    <w:p>
      <w:pPr>
        <w:spacing w:after="160" w:before="0" w:line="276"/>
        <w:jc w:val="both"/>
      </w:pPr>
      <w:r>
        <w:rPr>
          <w:rFonts w:ascii="Arial" w:cs="Arial" w:eastAsia="Arial" w:hAnsi="Arial"/>
          <w:b w:val="false"/>
          <w:bCs w:val="false"/>
          <w:i/>
          <w:iCs/>
          <w:color w:val="333333"/>
          <w:sz w:val="18"/>
          <w:szCs w:val="18"/>
        </w:rPr>
        <w:t xml:space="preserve">Note prepared from scanned primary documents held in the repository: chepito61/El-Salvador-s-Political-Economy-of-Fiscal-Policy-1953-1980.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Memorias de Hacienda 1959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2026-04-01T19:02:40.676Z</dcterms:created>
  <dcterms:modified xsi:type="dcterms:W3CDTF">2026-04-01T19:02:40.677Z</dcterms:modified>
</cp:coreProperties>
</file>

<file path=docProps/custom.xml><?xml version="1.0" encoding="utf-8"?>
<Properties xmlns="http://schemas.openxmlformats.org/officeDocument/2006/custom-properties" xmlns:vt="http://schemas.openxmlformats.org/officeDocument/2006/docPropsVTypes"/>
</file>