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before="0" w:line="276"/>
        <w:jc w:val="center"/>
      </w:pPr>
      <w:r>
        <w:rPr>
          <w:rFonts w:ascii="Arial" w:cs="Arial" w:eastAsia="Arial" w:hAnsi="Arial"/>
          <w:b/>
          <w:bCs/>
          <w:i w:val="false"/>
          <w:iCs w:val="false"/>
          <w:color w:val="1F3864"/>
          <w:sz w:val="36"/>
          <w:szCs w:val="36"/>
        </w:rPr>
        <w:t xml:space="preserve">The Fiscal-Political Transmission Mechanism</w:t>
      </w:r>
    </w:p>
    <w:p>
      <w:pPr>
        <w:spacing w:after="300" w:before="0" w:line="276"/>
        <w:jc w:val="center"/>
      </w:pPr>
      <w:r>
        <w:rPr>
          <w:rFonts w:ascii="Arial" w:cs="Arial" w:eastAsia="Arial" w:hAnsi="Arial"/>
          <w:b w:val="false"/>
          <w:bCs w:val="false"/>
          <w:i/>
          <w:iCs/>
          <w:color w:val="CC3333"/>
          <w:sz w:val="26"/>
          <w:szCs w:val="26"/>
        </w:rPr>
        <w:t xml:space="preserve">From Coffee Dependence to Civil War: A Conceptual Framework</w:t>
      </w:r>
    </w:p>
    <w:p>
      <w:pPr>
        <w:spacing w:after="100" w:before="0" w:line="276"/>
        <w:jc w:val="center"/>
      </w:pPr>
      <w:r>
        <w:rPr>
          <w:rFonts w:ascii="Arial" w:cs="Arial" w:eastAsia="Arial" w:hAnsi="Arial"/>
          <w:b w:val="false"/>
          <w:bCs w:val="false"/>
          <w:i w:val="false"/>
          <w:iCs w:val="false"/>
          <w:color w:val="777777"/>
          <w:sz w:val="22"/>
          <w:szCs w:val="22"/>
        </w:rPr>
        <w:t xml:space="preserve">Conceptual Note for the Project</w:t>
      </w:r>
    </w:p>
    <w:p>
      <w:pPr>
        <w:spacing w:after="200" w:before="0" w:line="276"/>
        <w:jc w:val="center"/>
      </w:pPr>
      <w:r>
        <w:rPr>
          <w:rFonts w:ascii="Arial" w:cs="Arial" w:eastAsia="Arial" w:hAnsi="Arial"/>
          <w:b w:val="false"/>
          <w:bCs w:val="false"/>
          <w:i/>
          <w:iCs/>
          <w:color w:val="777777"/>
          <w:sz w:val="22"/>
          <w:szCs w:val="22"/>
        </w:rPr>
        <w:t xml:space="preserve">El Salvador’s Political Economy of Fiscal Policy, 1953–1980</w:t>
      </w:r>
    </w:p>
    <w:p>
      <w:pPr>
        <w:spacing w:after="180" w:before="0" w:line="276"/>
        <w:jc w:val="center"/>
      </w:pPr>
      <w:r>
        <w:rPr>
          <w:rFonts w:ascii="Arial" w:cs="Arial" w:eastAsia="Arial" w:hAnsi="Arial"/>
          <w:b w:val="false"/>
          <w:bCs w:val="false"/>
          <w:i w:val="false"/>
          <w:iCs w:val="false"/>
          <w:color w:val="777777"/>
          <w:sz w:val="22"/>
          <w:szCs w:val="22"/>
        </w:rPr>
        <w:t xml:space="preserve">April 2026</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The Central Thesis</w:t>
      </w:r>
    </w:p>
    <w:p>
      <w:pPr>
        <w:spacing w:after="180" w:before="0" w:line="276"/>
        <w:jc w:val="both"/>
      </w:pPr>
      <w:r>
        <w:rPr>
          <w:rFonts w:ascii="Arial" w:cs="Arial" w:eastAsia="Arial" w:hAnsi="Arial"/>
          <w:b w:val="false"/>
          <w:bCs w:val="false"/>
          <w:i w:val="false"/>
          <w:iCs w:val="false"/>
          <w:color w:val="333333"/>
          <w:sz w:val="22"/>
          <w:szCs w:val="22"/>
        </w:rPr>
        <w:t xml:space="preserve">This project argues that the interaction between three structural features of El Salvador’s fiscal architecture — </w:t>
      </w:r>
      <w:r>
        <w:rPr>
          <w:rFonts w:ascii="Arial" w:cs="Arial" w:eastAsia="Arial" w:hAnsi="Arial"/>
          <w:b/>
          <w:bCs/>
          <w:i w:val="false"/>
          <w:iCs w:val="false"/>
          <w:color w:val="333333"/>
          <w:sz w:val="22"/>
          <w:szCs w:val="22"/>
        </w:rPr>
        <w:t xml:space="preserve">coffee-dependent revenue, a fixed exchange rate, and rigid expenditure composition</w:t>
      </w:r>
      <w:r>
        <w:rPr>
          <w:rFonts w:ascii="Arial" w:cs="Arial" w:eastAsia="Arial" w:hAnsi="Arial"/>
          <w:b w:val="false"/>
          <w:bCs w:val="false"/>
          <w:i w:val="false"/>
          <w:iCs w:val="false"/>
          <w:color w:val="333333"/>
          <w:sz w:val="22"/>
          <w:szCs w:val="22"/>
        </w:rPr>
        <w:t xml:space="preserve"> — created a fiscal-political transmission mechanism that exacerbated the political polarization leading to the Civil War of 1980–1992. The mechanism operated through the systematic sacrifice of developmental spending during commodity downturns while preserving the security apparatus, progressively eroding the state’s legitimacy while maintaining its coercive capacity.</w:t>
      </w:r>
    </w:p>
    <w:p>
      <w:pPr>
        <w:pStyle w:val="Heading1"/>
        <w:spacing w:after="200" w:before="360" w:line="276"/>
        <w:jc w:val="both"/>
      </w:pPr>
      <w:r>
        <w:rPr>
          <w:rFonts w:ascii="Arial" w:cs="Arial" w:eastAsia="Arial" w:hAnsi="Arial"/>
          <w:b/>
          <w:bCs/>
          <w:i w:val="false"/>
          <w:iCs w:val="false"/>
          <w:color w:val="1F3864"/>
          <w:sz w:val="32"/>
          <w:szCs w:val="32"/>
        </w:rPr>
        <w:t xml:space="preserve">The Causal Chain</w:t>
      </w:r>
    </w:p>
    <w:p>
      <w:pPr>
        <w:pStyle w:val="Heading2"/>
        <w:spacing w:after="160" w:before="300" w:line="276"/>
        <w:jc w:val="both"/>
      </w:pPr>
      <w:r>
        <w:rPr>
          <w:rFonts w:ascii="Arial" w:cs="Arial" w:eastAsia="Arial" w:hAnsi="Arial"/>
          <w:b/>
          <w:bCs/>
          <w:i w:val="false"/>
          <w:iCs w:val="false"/>
          <w:color w:val="2E5090"/>
          <w:sz w:val="28"/>
          <w:szCs w:val="28"/>
        </w:rPr>
        <w:t xml:space="preserve">Step 1: Coffee-Dependent Revenue</w:t>
      </w:r>
    </w:p>
    <w:p>
      <w:pPr>
        <w:spacing w:after="180" w:before="0" w:line="276"/>
        <w:jc w:val="both"/>
      </w:pPr>
      <w:r>
        <w:rPr>
          <w:rFonts w:ascii="Arial" w:cs="Arial" w:eastAsia="Arial" w:hAnsi="Arial"/>
          <w:b w:val="false"/>
          <w:bCs w:val="false"/>
          <w:i w:val="false"/>
          <w:iCs w:val="false"/>
          <w:color w:val="333333"/>
          <w:sz w:val="22"/>
          <w:szCs w:val="22"/>
        </w:rPr>
        <w:t xml:space="preserve">El Salvador’s fiscal base was overwhelmingly dependent on coffee-linked trade taxes throughout the MISI period (1948–1979). Import and export duties together accounted for 60–80% of total revenue. The progressive export tax (Decreto 836, 1950) amplified price movements: when international coffee prices rose, revenue surged disproportionately; when prices fell, revenue collapsed disproportionately. No stabilization fund, fiscal rule, or countercyclical mechanism existed to smooth the cycle.</w:t>
      </w:r>
    </w:p>
    <w:p>
      <w:pPr>
        <w:spacing w:after="180" w:before="0" w:line="276"/>
        <w:jc w:val="both"/>
      </w:pPr>
      <w:r>
        <w:rPr>
          <w:rFonts w:ascii="Arial" w:cs="Arial" w:eastAsia="Arial" w:hAnsi="Arial"/>
          <w:b w:val="false"/>
          <w:bCs w:val="false"/>
          <w:i w:val="false"/>
          <w:iCs w:val="false"/>
          <w:color w:val="333333"/>
          <w:sz w:val="22"/>
          <w:szCs w:val="22"/>
        </w:rPr>
        <w:t xml:space="preserve">Evidence from the Memorias: Revenue nearly tripled from 1949 to 1957, then fell 11.5% in a single year (1958) when coffee prices declined. Export duties alone dropped 35% in 1958. The tax concentration ratio (Impuestos/total revenue) remained above 91% throughout the period.</w:t>
      </w:r>
    </w:p>
    <w:p>
      <w:pPr>
        <w:pStyle w:val="Heading2"/>
        <w:spacing w:after="160" w:before="300" w:line="276"/>
        <w:jc w:val="both"/>
      </w:pPr>
      <w:r>
        <w:rPr>
          <w:rFonts w:ascii="Arial" w:cs="Arial" w:eastAsia="Arial" w:hAnsi="Arial"/>
          <w:b/>
          <w:bCs/>
          <w:i w:val="false"/>
          <w:iCs w:val="false"/>
          <w:color w:val="2E5090"/>
          <w:sz w:val="28"/>
          <w:szCs w:val="28"/>
        </w:rPr>
        <w:t xml:space="preserve">Step 2: The Fixed Exchange Rate as Amplifier</w:t>
      </w:r>
    </w:p>
    <w:p>
      <w:pPr>
        <w:spacing w:after="180" w:before="0" w:line="276"/>
        <w:jc w:val="both"/>
      </w:pPr>
      <w:r>
        <w:rPr>
          <w:rFonts w:ascii="Arial" w:cs="Arial" w:eastAsia="Arial" w:hAnsi="Arial"/>
          <w:b w:val="false"/>
          <w:bCs w:val="false"/>
          <w:i w:val="false"/>
          <w:iCs w:val="false"/>
          <w:color w:val="333333"/>
          <w:sz w:val="22"/>
          <w:szCs w:val="22"/>
        </w:rPr>
        <w:t xml:space="preserve">El Salvador maintained a fixed exchange rate of US$1.00 = ₡2.50 throughout the entire period under study (and indeed from 1934 to 1986). This policy choice had profound fiscal consequences:</w:t>
      </w:r>
    </w:p>
    <w:p>
      <w:pPr>
        <w:spacing w:after="180" w:before="0" w:line="276"/>
        <w:jc w:val="both"/>
      </w:pPr>
      <w:r>
        <w:rPr>
          <w:rFonts w:ascii="Arial" w:cs="Arial" w:eastAsia="Arial" w:hAnsi="Arial"/>
          <w:b/>
          <w:bCs/>
          <w:i w:val="false"/>
          <w:iCs w:val="false"/>
          <w:color w:val="333333"/>
          <w:sz w:val="22"/>
          <w:szCs w:val="22"/>
        </w:rPr>
        <w:t xml:space="preserve">Without depreciation as an adjustment valve, coffee price declines in dollar terms translated directly into proportional revenue declines in colón terms. </w:t>
      </w:r>
      <w:r>
        <w:rPr>
          <w:rFonts w:ascii="Arial" w:cs="Arial" w:eastAsia="Arial" w:hAnsi="Arial"/>
          <w:b w:val="false"/>
          <w:bCs w:val="false"/>
          <w:i w:val="false"/>
          <w:iCs w:val="false"/>
          <w:color w:val="333333"/>
          <w:sz w:val="22"/>
          <w:szCs w:val="22"/>
        </w:rPr>
        <w:t xml:space="preserve">A flexible exchange rate would have provided automatic stabilization: a decline in coffee export earnings would have depreciated the colón, which in turn would have partially maintained export revenue in domestic currency terms, cushioning the fiscal impact.</w:t>
      </w:r>
    </w:p>
    <w:p>
      <w:pPr>
        <w:spacing w:after="180" w:before="0" w:line="276"/>
        <w:jc w:val="both"/>
      </w:pPr>
      <w:r>
        <w:rPr>
          <w:rFonts w:ascii="Arial" w:cs="Arial" w:eastAsia="Arial" w:hAnsi="Arial"/>
          <w:b w:val="false"/>
          <w:bCs w:val="false"/>
          <w:i w:val="false"/>
          <w:iCs w:val="false"/>
          <w:color w:val="333333"/>
          <w:sz w:val="22"/>
          <w:szCs w:val="22"/>
        </w:rPr>
        <w:t xml:space="preserve">The fixed rate was maintained because it served the interests of the dominant economic coalition: it protected the import purchasing power of the urban consuming class, preserved the dollar-denominated wealth of the coffee oligarchy, and facilitated the import-substitution industrialization model that depended on cheap imported inputs. The fiscal cost of this exchange rate policy — full transmission of external price shocks to the domestic budget — was borne by the public services that were cut during downturns.</w:t>
      </w:r>
    </w:p>
    <w:p>
      <w:pPr>
        <w:spacing w:after="180" w:before="0" w:line="276"/>
        <w:jc w:val="both"/>
      </w:pPr>
      <w:r>
        <w:rPr>
          <w:rFonts w:ascii="Arial" w:cs="Arial" w:eastAsia="Arial" w:hAnsi="Arial"/>
          <w:b w:val="false"/>
          <w:bCs w:val="false"/>
          <w:i w:val="false"/>
          <w:iCs w:val="false"/>
          <w:color w:val="333333"/>
          <w:sz w:val="22"/>
          <w:szCs w:val="22"/>
        </w:rPr>
        <w:t xml:space="preserve">In standard fiscal terms: the fixed exchange rate eliminated the “automatic stabilizer” that a floating rate provides to commodity-exporting economies, forcing the entire burden of external adjustment onto the fiscal accounts and, through the expenditure rigidity described below, onto the developmental spending categories.</w:t>
      </w:r>
    </w:p>
    <w:p>
      <w:pPr>
        <w:pStyle w:val="Heading2"/>
        <w:spacing w:after="160" w:before="300" w:line="276"/>
        <w:jc w:val="both"/>
      </w:pPr>
      <w:r>
        <w:rPr>
          <w:rFonts w:ascii="Arial" w:cs="Arial" w:eastAsia="Arial" w:hAnsi="Arial"/>
          <w:b/>
          <w:bCs/>
          <w:i w:val="false"/>
          <w:iCs w:val="false"/>
          <w:color w:val="2E5090"/>
          <w:sz w:val="28"/>
          <w:szCs w:val="28"/>
        </w:rPr>
        <w:t xml:space="preserve">Step 3: Rigid Expenditure with a Security Floor</w:t>
      </w:r>
    </w:p>
    <w:p>
      <w:pPr>
        <w:spacing w:after="180" w:before="0" w:line="276"/>
        <w:jc w:val="both"/>
      </w:pPr>
      <w:r>
        <w:rPr>
          <w:rFonts w:ascii="Arial" w:cs="Arial" w:eastAsia="Arial" w:hAnsi="Arial"/>
          <w:b w:val="false"/>
          <w:bCs w:val="false"/>
          <w:i w:val="false"/>
          <w:iCs w:val="false"/>
          <w:color w:val="333333"/>
          <w:sz w:val="22"/>
          <w:szCs w:val="22"/>
        </w:rPr>
        <w:t xml:space="preserve">The consolidated MISI spending analysis (1952–1958) demonstrates that expenditure had a structural composition that was highly resistant to adjustment:</w:t>
      </w:r>
    </w:p>
    <w:p>
      <w:pPr>
        <w:spacing w:after="180" w:before="0" w:line="276"/>
        <w:jc w:val="both"/>
      </w:pPr>
      <w:r>
        <w:rPr>
          <w:rFonts w:ascii="Arial" w:cs="Arial" w:eastAsia="Arial" w:hAnsi="Arial"/>
          <w:b/>
          <w:bCs/>
          <w:i w:val="false"/>
          <w:iCs w:val="false"/>
          <w:color w:val="333333"/>
          <w:sz w:val="22"/>
          <w:szCs w:val="22"/>
        </w:rPr>
        <w:t xml:space="preserve">The security apparatus (Defensa + Seguridad Pública + Gobernación security component) consumed approximately 20% of the budget regardless of revenue conditions. </w:t>
      </w:r>
      <w:r>
        <w:rPr>
          <w:rFonts w:ascii="Arial" w:cs="Arial" w:eastAsia="Arial" w:hAnsi="Arial"/>
          <w:b w:val="false"/>
          <w:bCs w:val="false"/>
          <w:i w:val="false"/>
          <w:iCs w:val="false"/>
          <w:color w:val="333333"/>
          <w:sz w:val="22"/>
          <w:szCs w:val="22"/>
        </w:rPr>
        <w:t xml:space="preserve">This was the political floor: a military government could not cut military and police spending without undermining its own power base. This share was maintained at 20.7% in 1952, 20.3% in 1954 (the boom year), and 20.4% in 1958 (the crisis year).</w:t>
      </w:r>
    </w:p>
    <w:p>
      <w:pPr>
        <w:spacing w:after="180" w:before="0" w:line="276"/>
        <w:jc w:val="both"/>
      </w:pPr>
      <w:r>
        <w:rPr>
          <w:rFonts w:ascii="Arial" w:cs="Arial" w:eastAsia="Arial" w:hAnsi="Arial"/>
          <w:b w:val="false"/>
          <w:bCs w:val="false"/>
          <w:i w:val="false"/>
          <w:iCs w:val="false"/>
          <w:color w:val="333333"/>
          <w:sz w:val="22"/>
          <w:szCs w:val="22"/>
        </w:rPr>
        <w:t xml:space="preserve">The wage bill (48–50% of expenditure) was functionally rigid. Personnel costs could not be cut without mass layoffs of teachers, soldiers, police, and civil servants — each group with its own political constituency.</w:t>
      </w:r>
    </w:p>
    <w:p>
      <w:pPr>
        <w:spacing w:after="180" w:before="0" w:line="276"/>
        <w:jc w:val="both"/>
      </w:pPr>
      <w:r>
        <w:rPr>
          <w:rFonts w:ascii="Arial" w:cs="Arial" w:eastAsia="Arial" w:hAnsi="Arial"/>
          <w:b w:val="false"/>
          <w:bCs w:val="false"/>
          <w:i w:val="false"/>
          <w:iCs w:val="false"/>
          <w:color w:val="333333"/>
          <w:sz w:val="22"/>
          <w:szCs w:val="22"/>
        </w:rPr>
        <w:t xml:space="preserve">Debt service was contractual and non-negotiable (rising from ~4% to 17.5% during the period as the IBRD loan and other obligations accumulated).</w:t>
      </w:r>
    </w:p>
    <w:p>
      <w:pPr>
        <w:pStyle w:val="Heading2"/>
        <w:spacing w:after="160" w:before="300" w:line="276"/>
        <w:jc w:val="both"/>
      </w:pPr>
      <w:r>
        <w:rPr>
          <w:rFonts w:ascii="Arial" w:cs="Arial" w:eastAsia="Arial" w:hAnsi="Arial"/>
          <w:b/>
          <w:bCs/>
          <w:i w:val="false"/>
          <w:iCs w:val="false"/>
          <w:color w:val="2E5090"/>
          <w:sz w:val="28"/>
          <w:szCs w:val="28"/>
        </w:rPr>
        <w:t xml:space="preserve">Step 4: Development Spending as the Adjustment Variable</w:t>
      </w:r>
    </w:p>
    <w:p>
      <w:pPr>
        <w:spacing w:after="180" w:before="0" w:line="276"/>
        <w:jc w:val="both"/>
      </w:pPr>
      <w:r>
        <w:rPr>
          <w:rFonts w:ascii="Arial" w:cs="Arial" w:eastAsia="Arial" w:hAnsi="Arial"/>
          <w:b w:val="false"/>
          <w:bCs w:val="false"/>
          <w:i w:val="false"/>
          <w:iCs w:val="false"/>
          <w:color w:val="333333"/>
          <w:sz w:val="22"/>
          <w:szCs w:val="22"/>
        </w:rPr>
        <w:t xml:space="preserve">When revenue fell (as in 1958), the only expenditure categories that could be cut were the developmental programs: education, health, infrastructure, and agriculture. The evidence is unambiguous:</w:t>
      </w:r>
    </w:p>
    <w:p>
      <w:pPr>
        <w:spacing w:after="180" w:before="0" w:line="276"/>
        <w:jc w:val="both"/>
      </w:pPr>
      <w:r>
        <w:rPr>
          <w:rFonts w:ascii="Arial" w:cs="Arial" w:eastAsia="Arial" w:hAnsi="Arial"/>
          <w:b w:val="false"/>
          <w:bCs w:val="false"/>
          <w:i w:val="false"/>
          <w:iCs w:val="false"/>
          <w:color w:val="333333"/>
          <w:sz w:val="22"/>
          <w:szCs w:val="22"/>
        </w:rPr>
        <w:t xml:space="preserve">Social/development spending surged from ~31% (1952) to ~46% (1957) during the boom years, then </w:t>
      </w:r>
      <w:r>
        <w:rPr>
          <w:rFonts w:ascii="Arial" w:cs="Arial" w:eastAsia="Arial" w:hAnsi="Arial"/>
          <w:b/>
          <w:bCs/>
          <w:i w:val="false"/>
          <w:iCs w:val="false"/>
          <w:color w:val="333333"/>
          <w:sz w:val="22"/>
          <w:szCs w:val="22"/>
        </w:rPr>
        <w:t xml:space="preserve">collapsed to 29.5% in 1958</w:t>
      </w:r>
      <w:r>
        <w:rPr>
          <w:rFonts w:ascii="Arial" w:cs="Arial" w:eastAsia="Arial" w:hAnsi="Arial"/>
          <w:b w:val="false"/>
          <w:bCs w:val="false"/>
          <w:i w:val="false"/>
          <w:iCs w:val="false"/>
          <w:color w:val="333333"/>
          <w:sz w:val="22"/>
          <w:szCs w:val="22"/>
        </w:rPr>
        <w:t xml:space="preserve"> — a 16.8 percentage-point decline in a single year. Obras Públicas fell from 17.6% to 10.1%. Health fell from 9.7% to 2.7%. The programs that the MISI model used to legitimize military rule were precisely the ones sacrificed during downturns.</w:t>
      </w:r>
    </w:p>
    <w:p>
      <w:pPr>
        <w:pStyle w:val="Heading2"/>
        <w:spacing w:after="160" w:before="300" w:line="276"/>
        <w:jc w:val="both"/>
      </w:pPr>
      <w:r>
        <w:rPr>
          <w:rFonts w:ascii="Arial" w:cs="Arial" w:eastAsia="Arial" w:hAnsi="Arial"/>
          <w:b/>
          <w:bCs/>
          <w:i w:val="false"/>
          <w:iCs w:val="false"/>
          <w:color w:val="2E5090"/>
          <w:sz w:val="28"/>
          <w:szCs w:val="28"/>
        </w:rPr>
        <w:t xml:space="preserve">Step 5: The Legitimacy-Coercion Imbalance</w:t>
      </w:r>
    </w:p>
    <w:p>
      <w:pPr>
        <w:spacing w:after="180" w:before="0" w:line="276"/>
        <w:jc w:val="both"/>
      </w:pPr>
      <w:r>
        <w:rPr>
          <w:rFonts w:ascii="Arial" w:cs="Arial" w:eastAsia="Arial" w:hAnsi="Arial"/>
          <w:b w:val="false"/>
          <w:bCs w:val="false"/>
          <w:i w:val="false"/>
          <w:iCs w:val="false"/>
          <w:color w:val="333333"/>
          <w:sz w:val="22"/>
          <w:szCs w:val="22"/>
        </w:rPr>
        <w:t xml:space="preserve">The asymmetric adjustment pattern — security protected, development cut — created a progressively widening gap between the state’s coercive capacity and its developmental legitimacy. During boom years, the state could simultaneously repress and deliver. During downturns, it could only repress. Over successive commodity cycles, each downturn eroded legitimacy while each recovery failed to fully restore it (because the development programs took time to rebuild but could be cut overnight).</w:t>
      </w:r>
    </w:p>
    <w:p>
      <w:pPr>
        <w:spacing w:after="180" w:before="0" w:line="276"/>
        <w:jc w:val="both"/>
      </w:pPr>
      <w:r>
        <w:rPr>
          <w:rFonts w:ascii="Arial" w:cs="Arial" w:eastAsia="Arial" w:hAnsi="Arial"/>
          <w:b/>
          <w:bCs/>
          <w:i w:val="false"/>
          <w:iCs w:val="false"/>
          <w:color w:val="333333"/>
          <w:sz w:val="22"/>
          <w:szCs w:val="22"/>
        </w:rPr>
        <w:t xml:space="preserve">This is the fiscal mechanism of political polarization: </w:t>
      </w:r>
      <w:r>
        <w:rPr>
          <w:rFonts w:ascii="Arial" w:cs="Arial" w:eastAsia="Arial" w:hAnsi="Arial"/>
          <w:b w:val="false"/>
          <w:bCs w:val="false"/>
          <w:i w:val="false"/>
          <w:iCs w:val="false"/>
          <w:color w:val="333333"/>
          <w:sz w:val="22"/>
          <w:szCs w:val="22"/>
        </w:rPr>
        <w:t xml:space="preserve">the population experienced a state that reliably maintained its capacity to police and imprison but unreliably maintained its capacity to educate, heal, and build. The conclusion, drawn by an increasingly organized opposition, was that the state served the military-oligarchic alliance, not the population. The conclusion drawn by the elite was that any demand for fiscal reform (higher corporate taxes, land reform, exchange rate flexibility) threatened the export model that funded their wealth.</w:t>
      </w:r>
    </w:p>
    <w:p>
      <w:pPr>
        <w:pStyle w:val="Heading2"/>
        <w:spacing w:after="160" w:before="300" w:line="276"/>
        <w:jc w:val="both"/>
      </w:pPr>
      <w:r>
        <w:rPr>
          <w:rFonts w:ascii="Arial" w:cs="Arial" w:eastAsia="Arial" w:hAnsi="Arial"/>
          <w:b/>
          <w:bCs/>
          <w:i w:val="false"/>
          <w:iCs w:val="false"/>
          <w:color w:val="2E5090"/>
          <w:sz w:val="28"/>
          <w:szCs w:val="28"/>
        </w:rPr>
        <w:t xml:space="preserve">Step 6: The Fixed Exchange Rate Locks In the Trap</w:t>
      </w:r>
    </w:p>
    <w:p>
      <w:pPr>
        <w:spacing w:after="180" w:before="0" w:line="276"/>
        <w:jc w:val="both"/>
      </w:pPr>
      <w:r>
        <w:rPr>
          <w:rFonts w:ascii="Arial" w:cs="Arial" w:eastAsia="Arial" w:hAnsi="Arial"/>
          <w:b w:val="false"/>
          <w:bCs w:val="false"/>
          <w:i w:val="false"/>
          <w:iCs w:val="false"/>
          <w:color w:val="333333"/>
          <w:sz w:val="22"/>
          <w:szCs w:val="22"/>
        </w:rPr>
        <w:t xml:space="preserve">The fixed exchange rate closed the escape valve that could have broken the cycle. In a flexible-rate regime:</w:t>
      </w:r>
    </w:p>
    <w:p>
      <w:pPr>
        <w:spacing w:after="180" w:before="0" w:line="276"/>
        <w:jc w:val="both"/>
      </w:pPr>
      <w:r>
        <w:rPr>
          <w:rFonts w:ascii="Arial" w:cs="Arial" w:eastAsia="Arial" w:hAnsi="Arial"/>
          <w:b w:val="false"/>
          <w:bCs w:val="false"/>
          <w:i w:val="false"/>
          <w:iCs w:val="false"/>
          <w:color w:val="333333"/>
          <w:sz w:val="22"/>
          <w:szCs w:val="22"/>
        </w:rPr>
        <w:t xml:space="preserve">• A coffee price decline would depreciate the colón, partially maintaining export revenue in domestic terms and cushioning the fiscal impact.</w:t>
      </w:r>
    </w:p>
    <w:p>
      <w:pPr>
        <w:spacing w:after="180" w:before="0" w:line="276"/>
        <w:jc w:val="both"/>
      </w:pPr>
      <w:r>
        <w:rPr>
          <w:rFonts w:ascii="Arial" w:cs="Arial" w:eastAsia="Arial" w:hAnsi="Arial"/>
          <w:b w:val="false"/>
          <w:bCs w:val="false"/>
          <w:i w:val="false"/>
          <w:iCs w:val="false"/>
          <w:color w:val="333333"/>
          <w:sz w:val="22"/>
          <w:szCs w:val="22"/>
        </w:rPr>
        <w:t xml:space="preserve">• The depreciation would raise the colón cost of imports, reducing import demand and import duty revenue less than under a fixed rate.</w:t>
      </w:r>
    </w:p>
    <w:p>
      <w:pPr>
        <w:spacing w:after="180" w:before="0" w:line="276"/>
        <w:jc w:val="both"/>
      </w:pPr>
      <w:r>
        <w:rPr>
          <w:rFonts w:ascii="Arial" w:cs="Arial" w:eastAsia="Arial" w:hAnsi="Arial"/>
          <w:b w:val="false"/>
          <w:bCs w:val="false"/>
          <w:i w:val="false"/>
          <w:iCs w:val="false"/>
          <w:color w:val="333333"/>
          <w:sz w:val="22"/>
          <w:szCs w:val="22"/>
        </w:rPr>
        <w:t xml:space="preserve">• The government would have fiscal space to maintain developmental spending during the downturn, preserving legitimacy.</w:t>
      </w:r>
    </w:p>
    <w:p>
      <w:pPr>
        <w:spacing w:after="180" w:before="0" w:line="276"/>
        <w:jc w:val="both"/>
      </w:pPr>
      <w:r>
        <w:rPr>
          <w:rFonts w:ascii="Arial" w:cs="Arial" w:eastAsia="Arial" w:hAnsi="Arial"/>
          <w:b w:val="false"/>
          <w:bCs w:val="false"/>
          <w:i w:val="false"/>
          <w:iCs w:val="false"/>
          <w:color w:val="333333"/>
          <w:sz w:val="22"/>
          <w:szCs w:val="22"/>
        </w:rPr>
        <w:t xml:space="preserve">Instead, the fixed rate transmitted the full dollar-denominated price shock to the colón-denominated budget, forced the government to choose between security and development (it always chose security), and progressively undermined the social contract that the MISI model depended on.</w:t>
      </w:r>
    </w:p>
    <w:p>
      <w:pPr>
        <w:pStyle w:val="Heading2"/>
        <w:spacing w:after="160" w:before="300" w:line="276"/>
        <w:jc w:val="both"/>
      </w:pPr>
      <w:r>
        <w:rPr>
          <w:rFonts w:ascii="Arial" w:cs="Arial" w:eastAsia="Arial" w:hAnsi="Arial"/>
          <w:b/>
          <w:bCs/>
          <w:i w:val="false"/>
          <w:iCs w:val="false"/>
          <w:color w:val="2E5090"/>
          <w:sz w:val="28"/>
          <w:szCs w:val="28"/>
        </w:rPr>
        <w:t xml:space="preserve">Step 7: From Fiscal Crisis to Political Polarization to Civil War</w:t>
      </w:r>
    </w:p>
    <w:p>
      <w:pPr>
        <w:spacing w:after="180" w:before="0" w:line="276"/>
        <w:jc w:val="both"/>
      </w:pPr>
      <w:r>
        <w:rPr>
          <w:rFonts w:ascii="Arial" w:cs="Arial" w:eastAsia="Arial" w:hAnsi="Arial"/>
          <w:b w:val="false"/>
          <w:bCs w:val="false"/>
          <w:i w:val="false"/>
          <w:iCs w:val="false"/>
          <w:color w:val="333333"/>
          <w:sz w:val="22"/>
          <w:szCs w:val="22"/>
        </w:rPr>
        <w:t xml:space="preserve">The cumulative effect of repeated cycles of boom (development up, legitimacy restored) and bust (development cut, legitimacy eroded, security maintained) was a progressive political polarization that made peaceful reform increasingly difficult:</w:t>
      </w:r>
    </w:p>
    <w:p>
      <w:pPr>
        <w:spacing w:after="180" w:before="0" w:line="276"/>
        <w:jc w:val="both"/>
      </w:pPr>
      <w:r>
        <w:rPr>
          <w:rFonts w:ascii="Arial" w:cs="Arial" w:eastAsia="Arial" w:hAnsi="Arial"/>
          <w:b w:val="false"/>
          <w:bCs w:val="false"/>
          <w:i w:val="false"/>
          <w:iCs w:val="false"/>
          <w:color w:val="333333"/>
          <w:sz w:val="22"/>
          <w:szCs w:val="22"/>
        </w:rPr>
        <w:t xml:space="preserve">The left concluded that the state was structurally incapable of reform because the fiscal system was designed to protect elite wealth (fixed exchange rate, low corporate taxes, coffee grower exemptions) at the expense of popular welfare.</w:t>
      </w:r>
    </w:p>
    <w:p>
      <w:pPr>
        <w:spacing w:after="180" w:before="0" w:line="276"/>
        <w:jc w:val="both"/>
      </w:pPr>
      <w:r>
        <w:rPr>
          <w:rFonts w:ascii="Arial" w:cs="Arial" w:eastAsia="Arial" w:hAnsi="Arial"/>
          <w:b w:val="false"/>
          <w:bCs w:val="false"/>
          <w:i w:val="false"/>
          <w:iCs w:val="false"/>
          <w:color w:val="333333"/>
          <w:sz w:val="22"/>
          <w:szCs w:val="22"/>
        </w:rPr>
        <w:t xml:space="preserve">The right concluded that any fiscal reform (exchange rate flexibility, tax increases, land redistribution) would undermine the export model and therefore could not be permitted.</w:t>
      </w:r>
    </w:p>
    <w:p>
      <w:pPr>
        <w:spacing w:after="180" w:before="0" w:line="276"/>
        <w:jc w:val="both"/>
      </w:pPr>
      <w:r>
        <w:rPr>
          <w:rFonts w:ascii="Arial" w:cs="Arial" w:eastAsia="Arial" w:hAnsi="Arial"/>
          <w:b w:val="false"/>
          <w:bCs w:val="false"/>
          <w:i w:val="false"/>
          <w:iCs w:val="false"/>
          <w:color w:val="333333"/>
          <w:sz w:val="22"/>
          <w:szCs w:val="22"/>
        </w:rPr>
        <w:t xml:space="preserve">The military concluded that its institutional survival required maintaining the security apparatus regardless of the cost to development.</w:t>
      </w:r>
    </w:p>
    <w:p>
      <w:pPr>
        <w:spacing w:after="180" w:before="0" w:line="276"/>
        <w:jc w:val="both"/>
      </w:pPr>
      <w:r>
        <w:rPr>
          <w:rFonts w:ascii="Arial" w:cs="Arial" w:eastAsia="Arial" w:hAnsi="Arial"/>
          <w:b w:val="false"/>
          <w:bCs w:val="false"/>
          <w:i w:val="false"/>
          <w:iCs w:val="false"/>
          <w:color w:val="333333"/>
          <w:sz w:val="22"/>
          <w:szCs w:val="22"/>
        </w:rPr>
        <w:t xml:space="preserve">These three positions became irreconcilable by the late 1970s. The Civil War of 1980–1992 was the violent resolution of a political impasse whose fiscal roots can be traced to the structural choices documented in the Memorias de Hacienda from 1952 onward.</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Evidence and Testing</w:t>
      </w:r>
    </w:p>
    <w:p>
      <w:pPr>
        <w:spacing w:after="180" w:before="0" w:line="276"/>
        <w:jc w:val="both"/>
      </w:pPr>
      <w:r>
        <w:rPr>
          <w:rFonts w:ascii="Arial" w:cs="Arial" w:eastAsia="Arial" w:hAnsi="Arial"/>
          <w:b w:val="false"/>
          <w:bCs w:val="false"/>
          <w:i w:val="false"/>
          <w:iCs w:val="false"/>
          <w:color w:val="333333"/>
          <w:sz w:val="22"/>
          <w:szCs w:val="22"/>
        </w:rPr>
        <w:t xml:space="preserve">The thesis requires evidence at each link in the causal chain. The data gathered so far (1952–1958) provides strong initial support:</w:t>
      </w:r>
    </w:p>
    <w:p>
      <w:pPr>
        <w:spacing w:after="180" w:before="0" w:line="276"/>
        <w:jc w:val="both"/>
      </w:pPr>
      <w:r>
        <w:rPr>
          <w:rFonts w:ascii="Arial" w:cs="Arial" w:eastAsia="Arial" w:hAnsi="Arial"/>
          <w:b/>
          <w:bCs/>
          <w:i w:val="false"/>
          <w:iCs w:val="false"/>
          <w:color w:val="333333"/>
          <w:sz w:val="22"/>
          <w:szCs w:val="22"/>
        </w:rPr>
        <w:t xml:space="preserve">Link 1 (Coffee dependence): </w:t>
      </w:r>
      <w:r>
        <w:rPr>
          <w:rFonts w:ascii="Arial" w:cs="Arial" w:eastAsia="Arial" w:hAnsi="Arial"/>
          <w:b w:val="false"/>
          <w:bCs w:val="false"/>
          <w:i w:val="false"/>
          <w:iCs w:val="false"/>
          <w:color w:val="333333"/>
          <w:sz w:val="22"/>
          <w:szCs w:val="22"/>
        </w:rPr>
        <w:t xml:space="preserve">CONFIRMED. Trade taxes at 60–80% of revenue; export duties collapsed 35% in 1958.</w:t>
      </w:r>
    </w:p>
    <w:p>
      <w:pPr>
        <w:spacing w:after="180" w:before="0" w:line="276"/>
        <w:jc w:val="both"/>
      </w:pPr>
      <w:r>
        <w:rPr>
          <w:rFonts w:ascii="Arial" w:cs="Arial" w:eastAsia="Arial" w:hAnsi="Arial"/>
          <w:b/>
          <w:bCs/>
          <w:i w:val="false"/>
          <w:iCs w:val="false"/>
          <w:color w:val="333333"/>
          <w:sz w:val="22"/>
          <w:szCs w:val="22"/>
        </w:rPr>
        <w:t xml:space="preserve">Link 2 (Fixed exchange rate amplification): </w:t>
      </w:r>
      <w:r>
        <w:rPr>
          <w:rFonts w:ascii="Arial" w:cs="Arial" w:eastAsia="Arial" w:hAnsi="Arial"/>
          <w:b w:val="false"/>
          <w:bCs w:val="false"/>
          <w:i w:val="false"/>
          <w:iCs w:val="false"/>
          <w:color w:val="333333"/>
          <w:sz w:val="22"/>
          <w:szCs w:val="22"/>
        </w:rPr>
        <w:t xml:space="preserve">STRUCTURAL. The fixed rate at ₡2.50/US$ is documented throughout. The counterfactual (what a flexible rate would have done) requires modeling but the mechanism is standard in the fiscal literature on commodity-exporting economies.</w:t>
      </w:r>
    </w:p>
    <w:p>
      <w:pPr>
        <w:spacing w:after="180" w:before="0" w:line="276"/>
        <w:jc w:val="both"/>
      </w:pPr>
      <w:r>
        <w:rPr>
          <w:rFonts w:ascii="Arial" w:cs="Arial" w:eastAsia="Arial" w:hAnsi="Arial"/>
          <w:b/>
          <w:bCs/>
          <w:i w:val="false"/>
          <w:iCs w:val="false"/>
          <w:color w:val="333333"/>
          <w:sz w:val="22"/>
          <w:szCs w:val="22"/>
        </w:rPr>
        <w:t xml:space="preserve">Link 3 (Expenditure rigidity): </w:t>
      </w:r>
      <w:r>
        <w:rPr>
          <w:rFonts w:ascii="Arial" w:cs="Arial" w:eastAsia="Arial" w:hAnsi="Arial"/>
          <w:b w:val="false"/>
          <w:bCs w:val="false"/>
          <w:i w:val="false"/>
          <w:iCs w:val="false"/>
          <w:color w:val="333333"/>
          <w:sz w:val="22"/>
          <w:szCs w:val="22"/>
        </w:rPr>
        <w:t xml:space="preserve">CONFIRMED. Security floor at ~20%; wage bill at ~48%; rigid+semi-rigid at 70–81%.</w:t>
      </w:r>
    </w:p>
    <w:p>
      <w:pPr>
        <w:spacing w:after="180" w:before="0" w:line="276"/>
        <w:jc w:val="both"/>
      </w:pPr>
      <w:r>
        <w:rPr>
          <w:rFonts w:ascii="Arial" w:cs="Arial" w:eastAsia="Arial" w:hAnsi="Arial"/>
          <w:b/>
          <w:bCs/>
          <w:i w:val="false"/>
          <w:iCs w:val="false"/>
          <w:color w:val="333333"/>
          <w:sz w:val="22"/>
          <w:szCs w:val="22"/>
        </w:rPr>
        <w:t xml:space="preserve">Link 4 (Development as adjustment variable): </w:t>
      </w:r>
      <w:r>
        <w:rPr>
          <w:rFonts w:ascii="Arial" w:cs="Arial" w:eastAsia="Arial" w:hAnsi="Arial"/>
          <w:b w:val="false"/>
          <w:bCs w:val="false"/>
          <w:i w:val="false"/>
          <w:iCs w:val="false"/>
          <w:color w:val="333333"/>
          <w:sz w:val="22"/>
          <w:szCs w:val="22"/>
        </w:rPr>
        <w:t xml:space="preserve">CONFIRMED. Social/development spending collapsed from 46.3% to 29.5% in 1958 while security held at ~20%.</w:t>
      </w:r>
    </w:p>
    <w:p>
      <w:pPr>
        <w:spacing w:after="180" w:before="0" w:line="276"/>
        <w:jc w:val="both"/>
      </w:pPr>
      <w:r>
        <w:rPr>
          <w:rFonts w:ascii="Arial" w:cs="Arial" w:eastAsia="Arial" w:hAnsi="Arial"/>
          <w:b/>
          <w:bCs/>
          <w:i w:val="false"/>
          <w:iCs w:val="false"/>
          <w:color w:val="333333"/>
          <w:sz w:val="22"/>
          <w:szCs w:val="22"/>
        </w:rPr>
        <w:t xml:space="preserve">Link 5 (Legitimacy-coercion imbalance): </w:t>
      </w:r>
      <w:r>
        <w:rPr>
          <w:rFonts w:ascii="Arial" w:cs="Arial" w:eastAsia="Arial" w:hAnsi="Arial"/>
          <w:b w:val="false"/>
          <w:bCs w:val="false"/>
          <w:i w:val="false"/>
          <w:iCs w:val="false"/>
          <w:color w:val="333333"/>
          <w:sz w:val="22"/>
          <w:szCs w:val="22"/>
        </w:rPr>
        <w:t xml:space="preserve">SUPPORTED by fiscal data; requires political evidence from Turcios and other sources for the 1960–1979 period.</w:t>
      </w:r>
    </w:p>
    <w:p>
      <w:pPr>
        <w:spacing w:after="180" w:before="0" w:line="276"/>
        <w:jc w:val="both"/>
      </w:pPr>
      <w:r>
        <w:rPr>
          <w:rFonts w:ascii="Arial" w:cs="Arial" w:eastAsia="Arial" w:hAnsi="Arial"/>
          <w:b/>
          <w:bCs/>
          <w:i w:val="false"/>
          <w:iCs w:val="false"/>
          <w:color w:val="333333"/>
          <w:sz w:val="22"/>
          <w:szCs w:val="22"/>
        </w:rPr>
        <w:t xml:space="preserve">Link 6 (Exchange rate trap): </w:t>
      </w:r>
      <w:r>
        <w:rPr>
          <w:rFonts w:ascii="Arial" w:cs="Arial" w:eastAsia="Arial" w:hAnsi="Arial"/>
          <w:b w:val="false"/>
          <w:bCs w:val="false"/>
          <w:i w:val="false"/>
          <w:iCs w:val="false"/>
          <w:color w:val="333333"/>
          <w:sz w:val="22"/>
          <w:szCs w:val="22"/>
        </w:rPr>
        <w:t xml:space="preserve">STRUCTURAL. Requires comparative analysis with countries that had flexible rates during the same period.</w:t>
      </w:r>
    </w:p>
    <w:p>
      <w:pPr>
        <w:spacing w:after="180" w:before="0" w:line="276"/>
        <w:jc w:val="both"/>
      </w:pPr>
      <w:r>
        <w:rPr>
          <w:rFonts w:ascii="Arial" w:cs="Arial" w:eastAsia="Arial" w:hAnsi="Arial"/>
          <w:b/>
          <w:bCs/>
          <w:i w:val="false"/>
          <w:iCs w:val="false"/>
          <w:color w:val="333333"/>
          <w:sz w:val="22"/>
          <w:szCs w:val="22"/>
        </w:rPr>
        <w:t xml:space="preserve">Link 7 (Polarization to civil war): </w:t>
      </w:r>
      <w:r>
        <w:rPr>
          <w:rFonts w:ascii="Arial" w:cs="Arial" w:eastAsia="Arial" w:hAnsi="Arial"/>
          <w:b w:val="false"/>
          <w:bCs w:val="false"/>
          <w:i w:val="false"/>
          <w:iCs w:val="false"/>
          <w:color w:val="333333"/>
          <w:sz w:val="22"/>
          <w:szCs w:val="22"/>
        </w:rPr>
        <w:t xml:space="preserve">REQUIRES evidence from 1960–1979 Memorias showing the pattern repeated across multiple commodity cycles, combined with political evidence from secondary sources.</w:t>
      </w:r>
    </w:p>
    <w:p>
      <w:pPr>
        <w:pStyle w:val="Heading1"/>
        <w:spacing w:after="200" w:before="360" w:line="276"/>
        <w:jc w:val="both"/>
      </w:pPr>
      <w:r>
        <w:rPr>
          <w:rFonts w:ascii="Arial" w:cs="Arial" w:eastAsia="Arial" w:hAnsi="Arial"/>
          <w:b/>
          <w:bCs/>
          <w:i w:val="false"/>
          <w:iCs w:val="false"/>
          <w:color w:val="1F3864"/>
          <w:sz w:val="32"/>
          <w:szCs w:val="32"/>
        </w:rPr>
        <w:t xml:space="preserve">Data Still Needed</w:t>
      </w:r>
    </w:p>
    <w:p>
      <w:pPr>
        <w:spacing w:after="180" w:before="0" w:line="276"/>
        <w:jc w:val="both"/>
      </w:pPr>
      <w:r>
        <w:rPr>
          <w:rFonts w:ascii="Arial" w:cs="Arial" w:eastAsia="Arial" w:hAnsi="Arial"/>
          <w:b/>
          <w:bCs/>
          <w:i w:val="false"/>
          <w:iCs w:val="false"/>
          <w:color w:val="333333"/>
          <w:sz w:val="22"/>
          <w:szCs w:val="22"/>
        </w:rPr>
        <w:t xml:space="preserve">1. Memorias 1959–1979: </w:t>
      </w:r>
      <w:r>
        <w:rPr>
          <w:rFonts w:ascii="Arial" w:cs="Arial" w:eastAsia="Arial" w:hAnsi="Arial"/>
          <w:b w:val="false"/>
          <w:bCs w:val="false"/>
          <w:i w:val="false"/>
          <w:iCs w:val="false"/>
          <w:color w:val="333333"/>
          <w:sz w:val="22"/>
          <w:szCs w:val="22"/>
        </w:rPr>
        <w:t xml:space="preserve">To document whether the pattern (security protected, development cut) recurred in each subsequent coffee downturn (1962–63, 1966–67, 1971–72, 1977–78).</w:t>
      </w:r>
    </w:p>
    <w:p>
      <w:pPr>
        <w:spacing w:after="180" w:before="0" w:line="276"/>
        <w:jc w:val="both"/>
      </w:pPr>
      <w:r>
        <w:rPr>
          <w:rFonts w:ascii="Arial" w:cs="Arial" w:eastAsia="Arial" w:hAnsi="Arial"/>
          <w:b/>
          <w:bCs/>
          <w:i w:val="false"/>
          <w:iCs w:val="false"/>
          <w:color w:val="333333"/>
          <w:sz w:val="22"/>
          <w:szCs w:val="22"/>
        </w:rPr>
        <w:t xml:space="preserve">2. GDP series (BCR): </w:t>
      </w:r>
      <w:r>
        <w:rPr>
          <w:rFonts w:ascii="Arial" w:cs="Arial" w:eastAsia="Arial" w:hAnsi="Arial"/>
          <w:b w:val="false"/>
          <w:bCs w:val="false"/>
          <w:i w:val="false"/>
          <w:iCs w:val="false"/>
          <w:color w:val="333333"/>
          <w:sz w:val="22"/>
          <w:szCs w:val="22"/>
        </w:rPr>
        <w:t xml:space="preserve">To compute revenue/GDP, expenditure/GDP, and debt/GDP ratios for cross-country comparison and real-terms analysis.</w:t>
      </w:r>
    </w:p>
    <w:p>
      <w:pPr>
        <w:spacing w:after="180" w:before="0" w:line="276"/>
        <w:jc w:val="both"/>
      </w:pPr>
      <w:r>
        <w:rPr>
          <w:rFonts w:ascii="Arial" w:cs="Arial" w:eastAsia="Arial" w:hAnsi="Arial"/>
          <w:b/>
          <w:bCs/>
          <w:i w:val="false"/>
          <w:iCs w:val="false"/>
          <w:color w:val="333333"/>
          <w:sz w:val="22"/>
          <w:szCs w:val="22"/>
        </w:rPr>
        <w:t xml:space="preserve">3. Coffee price series: </w:t>
      </w:r>
      <w:r>
        <w:rPr>
          <w:rFonts w:ascii="Arial" w:cs="Arial" w:eastAsia="Arial" w:hAnsi="Arial"/>
          <w:b w:val="false"/>
          <w:bCs w:val="false"/>
          <w:i w:val="false"/>
          <w:iCs w:val="false"/>
          <w:color w:val="333333"/>
          <w:sz w:val="22"/>
          <w:szCs w:val="22"/>
        </w:rPr>
        <w:t xml:space="preserve">International coffee prices in US$/quintal to overlay with fiscal data and demonstrate the transmission mechanism quantitatively.</w:t>
      </w:r>
    </w:p>
    <w:p>
      <w:pPr>
        <w:spacing w:after="180" w:before="0" w:line="276"/>
        <w:jc w:val="both"/>
      </w:pPr>
      <w:r>
        <w:rPr>
          <w:rFonts w:ascii="Arial" w:cs="Arial" w:eastAsia="Arial" w:hAnsi="Arial"/>
          <w:b/>
          <w:bCs/>
          <w:i w:val="false"/>
          <w:iCs w:val="false"/>
          <w:color w:val="333333"/>
          <w:sz w:val="22"/>
          <w:szCs w:val="22"/>
        </w:rPr>
        <w:t xml:space="preserve">4. Exchange rate counterfactual: </w:t>
      </w:r>
      <w:r>
        <w:rPr>
          <w:rFonts w:ascii="Arial" w:cs="Arial" w:eastAsia="Arial" w:hAnsi="Arial"/>
          <w:b w:val="false"/>
          <w:bCs w:val="false"/>
          <w:i w:val="false"/>
          <w:iCs w:val="false"/>
          <w:color w:val="333333"/>
          <w:sz w:val="22"/>
          <w:szCs w:val="22"/>
        </w:rPr>
        <w:t xml:space="preserve">A simple model showing how a flexible rate would have cushioned fiscal revenue during the 1958, 1960s, and 1970s downturns.</w:t>
      </w:r>
    </w:p>
    <w:p>
      <w:pPr>
        <w:spacing w:after="180" w:before="0" w:line="276"/>
        <w:jc w:val="both"/>
      </w:pPr>
      <w:r>
        <w:rPr>
          <w:rFonts w:ascii="Arial" w:cs="Arial" w:eastAsia="Arial" w:hAnsi="Arial"/>
          <w:b/>
          <w:bCs/>
          <w:i w:val="false"/>
          <w:iCs w:val="false"/>
          <w:color w:val="333333"/>
          <w:sz w:val="22"/>
          <w:szCs w:val="22"/>
        </w:rPr>
        <w:t xml:space="preserve">5. Turcios and other political sources: </w:t>
      </w:r>
      <w:r>
        <w:rPr>
          <w:rFonts w:ascii="Arial" w:cs="Arial" w:eastAsia="Arial" w:hAnsi="Arial"/>
          <w:b w:val="false"/>
          <w:bCs w:val="false"/>
          <w:i w:val="false"/>
          <w:iCs w:val="false"/>
          <w:color w:val="333333"/>
          <w:sz w:val="22"/>
          <w:szCs w:val="22"/>
        </w:rPr>
        <w:t xml:space="preserve">To document the political consequences of the fiscal pattern — how development cuts affected popular support, how security maintenance affected repressive capacity, and how both contributed to polarization.</w:t>
      </w:r>
    </w:p>
    <w:p>
      <w:pPr>
        <w:spacing w:after="180" w:before="0" w:line="276"/>
        <w:jc w:val="both"/>
      </w:pPr>
      <w:r>
        <w:rPr>
          <w:rFonts w:ascii="Arial" w:cs="Arial" w:eastAsia="Arial" w:hAnsi="Arial"/>
          <w:b/>
          <w:bCs/>
          <w:i w:val="false"/>
          <w:iCs w:val="false"/>
          <w:color w:val="333333"/>
          <w:sz w:val="22"/>
          <w:szCs w:val="22"/>
        </w:rPr>
        <w:t xml:space="preserve">6. Comparative cases: </w:t>
      </w:r>
      <w:r>
        <w:rPr>
          <w:rFonts w:ascii="Arial" w:cs="Arial" w:eastAsia="Arial" w:hAnsi="Arial"/>
          <w:b w:val="false"/>
          <w:bCs w:val="false"/>
          <w:i w:val="false"/>
          <w:iCs w:val="false"/>
          <w:color w:val="333333"/>
          <w:sz w:val="22"/>
          <w:szCs w:val="22"/>
        </w:rPr>
        <w:t xml:space="preserve">Costa Rica (which had democratic governance and a more diversified tax base) and Honduras/Guatemala (which had similar military-oligarchic structures but different fiscal trajectories) as comparison points.</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Methodology Going Forward</w:t>
      </w:r>
    </w:p>
    <w:p>
      <w:pPr>
        <w:spacing w:after="180" w:before="0" w:line="276"/>
        <w:jc w:val="both"/>
      </w:pPr>
      <w:r>
        <w:rPr>
          <w:rFonts w:ascii="Arial" w:cs="Arial" w:eastAsia="Arial" w:hAnsi="Arial"/>
          <w:b w:val="false"/>
          <w:bCs w:val="false"/>
          <w:i w:val="false"/>
          <w:iCs w:val="false"/>
          <w:color w:val="333333"/>
          <w:sz w:val="22"/>
          <w:szCs w:val="22"/>
        </w:rPr>
        <w:t xml:space="preserve">For each subsequent Memoria (1959–1979), the analysis will track:</w:t>
      </w:r>
    </w:p>
    <w:p>
      <w:pPr>
        <w:spacing w:after="180" w:before="0" w:line="276"/>
        <w:jc w:val="both"/>
      </w:pPr>
      <w:r>
        <w:rPr>
          <w:rFonts w:ascii="Arial" w:cs="Arial" w:eastAsia="Arial" w:hAnsi="Arial"/>
          <w:b/>
          <w:bCs/>
          <w:i w:val="false"/>
          <w:iCs w:val="false"/>
          <w:color w:val="333333"/>
          <w:sz w:val="22"/>
          <w:szCs w:val="22"/>
        </w:rPr>
        <w:t xml:space="preserve">1. The MISI spending balance: </w:t>
      </w:r>
      <w:r>
        <w:rPr>
          <w:rFonts w:ascii="Arial" w:cs="Arial" w:eastAsia="Arial" w:hAnsi="Arial"/>
          <w:b w:val="false"/>
          <w:bCs w:val="false"/>
          <w:i w:val="false"/>
          <w:iCs w:val="false"/>
          <w:color w:val="333333"/>
          <w:sz w:val="22"/>
          <w:szCs w:val="22"/>
        </w:rPr>
        <w:t xml:space="preserve">Security share vs. social/development share, and the ratio between them. The consolidated MISI spending document will be updated with each year.</w:t>
      </w:r>
    </w:p>
    <w:p>
      <w:pPr>
        <w:spacing w:after="180" w:before="0" w:line="276"/>
        <w:jc w:val="both"/>
      </w:pPr>
      <w:r>
        <w:rPr>
          <w:rFonts w:ascii="Arial" w:cs="Arial" w:eastAsia="Arial" w:hAnsi="Arial"/>
          <w:b/>
          <w:bCs/>
          <w:i w:val="false"/>
          <w:iCs w:val="false"/>
          <w:color w:val="333333"/>
          <w:sz w:val="22"/>
          <w:szCs w:val="22"/>
        </w:rPr>
        <w:t xml:space="preserve">2. The revenue-expenditure scissors: </w:t>
      </w:r>
      <w:r>
        <w:rPr>
          <w:rFonts w:ascii="Arial" w:cs="Arial" w:eastAsia="Arial" w:hAnsi="Arial"/>
          <w:b w:val="false"/>
          <w:bCs w:val="false"/>
          <w:i w:val="false"/>
          <w:iCs w:val="false"/>
          <w:color w:val="333333"/>
          <w:sz w:val="22"/>
          <w:szCs w:val="22"/>
        </w:rPr>
        <w:t xml:space="preserve">Whether revenue declines produce development cuts (as in 1958) or whether alternative adjustment mechanisms emerge.</w:t>
      </w:r>
    </w:p>
    <w:p>
      <w:pPr>
        <w:spacing w:after="180" w:before="0" w:line="276"/>
        <w:jc w:val="both"/>
      </w:pPr>
      <w:r>
        <w:rPr>
          <w:rFonts w:ascii="Arial" w:cs="Arial" w:eastAsia="Arial" w:hAnsi="Arial"/>
          <w:b/>
          <w:bCs/>
          <w:i w:val="false"/>
          <w:iCs w:val="false"/>
          <w:color w:val="333333"/>
          <w:sz w:val="22"/>
          <w:szCs w:val="22"/>
        </w:rPr>
        <w:t xml:space="preserve">3. The exchange rate constraint: </w:t>
      </w:r>
      <w:r>
        <w:rPr>
          <w:rFonts w:ascii="Arial" w:cs="Arial" w:eastAsia="Arial" w:hAnsi="Arial"/>
          <w:b w:val="false"/>
          <w:bCs w:val="false"/>
          <w:i w:val="false"/>
          <w:iCs w:val="false"/>
          <w:color w:val="333333"/>
          <w:sz w:val="22"/>
          <w:szCs w:val="22"/>
        </w:rPr>
        <w:t xml:space="preserve">How the fixed rate at ₡2.50/US$ interacted with each commodity cycle, and whether any discussion of exchange rate flexibility appeared in the fiscal documents.</w:t>
      </w:r>
    </w:p>
    <w:p>
      <w:pPr>
        <w:spacing w:after="180" w:before="0" w:line="276"/>
        <w:jc w:val="both"/>
      </w:pPr>
      <w:r>
        <w:rPr>
          <w:rFonts w:ascii="Arial" w:cs="Arial" w:eastAsia="Arial" w:hAnsi="Arial"/>
          <w:b/>
          <w:bCs/>
          <w:i w:val="false"/>
          <w:iCs w:val="false"/>
          <w:color w:val="333333"/>
          <w:sz w:val="22"/>
          <w:szCs w:val="22"/>
        </w:rPr>
        <w:t xml:space="preserve">4. The income tax evolution: </w:t>
      </w:r>
      <w:r>
        <w:rPr>
          <w:rFonts w:ascii="Arial" w:cs="Arial" w:eastAsia="Arial" w:hAnsi="Arial"/>
          <w:b w:val="false"/>
          <w:bCs w:val="false"/>
          <w:i w:val="false"/>
          <w:iCs w:val="false"/>
          <w:color w:val="333333"/>
          <w:sz w:val="22"/>
          <w:szCs w:val="22"/>
        </w:rPr>
        <w:t xml:space="preserve">Whether the income tax’s structural breakthrough (1957–1958) was sustained and whether reform of the corporate rate or the coffee exemption was ever attempted.</w:t>
      </w:r>
    </w:p>
    <w:p>
      <w:pPr>
        <w:spacing w:after="180" w:before="0" w:line="276"/>
        <w:jc w:val="both"/>
      </w:pPr>
      <w:r>
        <w:rPr>
          <w:rFonts w:ascii="Arial" w:cs="Arial" w:eastAsia="Arial" w:hAnsi="Arial"/>
          <w:b/>
          <w:bCs/>
          <w:i w:val="false"/>
          <w:iCs w:val="false"/>
          <w:color w:val="333333"/>
          <w:sz w:val="22"/>
          <w:szCs w:val="22"/>
        </w:rPr>
        <w:t xml:space="preserve">5. The debt trajectory: </w:t>
      </w:r>
      <w:r>
        <w:rPr>
          <w:rFonts w:ascii="Arial" w:cs="Arial" w:eastAsia="Arial" w:hAnsi="Arial"/>
          <w:b w:val="false"/>
          <w:bCs w:val="false"/>
          <w:i w:val="false"/>
          <w:iCs w:val="false"/>
          <w:color w:val="333333"/>
          <w:sz w:val="22"/>
          <w:szCs w:val="22"/>
        </w:rPr>
        <w:t xml:space="preserve">Whether new borrowing substituted for development spending cuts during downturns (debt-financed social spending) or whether debt accumulated for other purposes.</w:t>
      </w:r>
    </w:p>
    <w:p>
      <w:pPr>
        <w:spacing w:after="180" w:before="0" w:line="276"/>
        <w:jc w:val="both"/>
      </w:pPr>
      <w:r>
        <w:rPr>
          <w:rFonts w:ascii="Arial" w:cs="Arial" w:eastAsia="Arial" w:hAnsi="Arial"/>
          <w:b/>
          <w:bCs/>
          <w:i w:val="false"/>
          <w:iCs w:val="false"/>
          <w:color w:val="333333"/>
          <w:sz w:val="22"/>
          <w:szCs w:val="22"/>
        </w:rPr>
        <w:t xml:space="preserve">6. The personnel footprint: </w:t>
      </w:r>
      <w:r>
        <w:rPr>
          <w:rFonts w:ascii="Arial" w:cs="Arial" w:eastAsia="Arial" w:hAnsi="Arial"/>
          <w:b w:val="false"/>
          <w:bCs w:val="false"/>
          <w:i w:val="false"/>
          <w:iCs w:val="false"/>
          <w:color w:val="333333"/>
          <w:sz w:val="22"/>
          <w:szCs w:val="22"/>
        </w:rPr>
        <w:t xml:space="preserve">The salary mass by sector, tracking whether security payroll maintained its absolute level during downturns while social payroll was cut.</w:t>
      </w:r>
    </w:p>
    <w:p>
      <w:pPr>
        <w:spacing w:after="180" w:before="0" w:line="276"/>
        <w:jc w:val="both"/>
      </w:pPr>
      <w:r>
        <w:rPr>
          <w:rFonts w:ascii="Arial" w:cs="Arial" w:eastAsia="Arial" w:hAnsi="Arial"/>
          <w:b w:val="false"/>
          <w:bCs w:val="false"/>
          <w:i w:val="false"/>
          <w:iCs w:val="false"/>
          <w:color w:val="333333"/>
          <w:sz w:val="22"/>
          <w:szCs w:val="22"/>
        </w:rPr>
        <w:t xml:space="preserve">The ultimate product will be a longitudinal fiscal dataset covering 1952–1979 that demonstrates, year by year, how the three structural features (coffee dependence, fixed exchange rate, expenditure rigidity) interacted to produce the fiscal-political dynamics that contributed to the Civil War.</w:t>
      </w:r>
    </w:p>
    <w:p>
      <w:pPr>
        <w:spacing w:before="600"/>
      </w:pPr>
    </w:p>
    <w:p>
      <w:pPr>
        <w:spacing w:after="180" w:before="0" w:line="276"/>
        <w:jc w:val="center"/>
      </w:pPr>
      <w:r>
        <w:rPr>
          <w:rFonts w:ascii="Arial" w:cs="Arial" w:eastAsia="Arial" w:hAnsi="Arial"/>
          <w:b w:val="false"/>
          <w:bCs w:val="false"/>
          <w:i w:val="false"/>
          <w:iCs w:val="false"/>
          <w:color w:val="333333"/>
          <w:sz w:val="20"/>
          <w:szCs w:val="20"/>
        </w:rPr>
        <w:t xml:space="preserve">———</w:t>
      </w:r>
    </w:p>
    <w:p>
      <w:pPr>
        <w:spacing w:after="180" w:before="0" w:line="276"/>
        <w:jc w:val="both"/>
      </w:pPr>
      <w:r>
        <w:rPr>
          <w:rFonts w:ascii="Arial" w:cs="Arial" w:eastAsia="Arial" w:hAnsi="Arial"/>
          <w:b w:val="false"/>
          <w:bCs w:val="false"/>
          <w:i/>
          <w:iCs/>
          <w:color w:val="333333"/>
          <w:sz w:val="18"/>
          <w:szCs w:val="18"/>
        </w:rPr>
        <w:t xml:space="preserve">This conceptual note was prepared on April 1, 2026 as part of the working process for the project. It reflects the analytical framework that will guide the processing of the remaining Memorias de Hacienda (1959–1979) and the integration of secondary sources (Pleites, Turcios, and others).</w:t>
      </w:r>
    </w:p>
    <w:p>
      <w:pPr>
        <w:spacing w:after="180" w:before="0" w:line="276"/>
        <w:jc w:val="both"/>
      </w:pPr>
      <w:r>
        <w:rPr>
          <w:rFonts w:ascii="Arial" w:cs="Arial" w:eastAsia="Arial" w:hAnsi="Arial"/>
          <w:b w:val="false"/>
          <w:bCs w:val="false"/>
          <w:i/>
          <w:iCs/>
          <w:color w:val="333333"/>
          <w:sz w:val="18"/>
          <w:szCs w:val="18"/>
        </w:rPr>
        <w:t xml:space="preserve">The thesis is preliminary and subject to revision as additional data is analyzed. The causal chain requires evidence at each link, and the exchange rate counterfactual requires formal modeling.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888888"/>
        <w:sz w:val="18"/>
        <w:szCs w:val="18"/>
      </w:rPr>
      <w:t xml:space="preserve">Fiscal-Political Transmission Mechanism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2026-04-01T18:41:07.459Z</dcterms:created>
  <dcterms:modified xsi:type="dcterms:W3CDTF">2026-04-01T18:41:07.461Z</dcterms:modified>
</cp:coreProperties>
</file>

<file path=docProps/custom.xml><?xml version="1.0" encoding="utf-8"?>
<Properties xmlns="http://schemas.openxmlformats.org/officeDocument/2006/custom-properties" xmlns:vt="http://schemas.openxmlformats.org/officeDocument/2006/docPropsVTypes"/>
</file>