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Georgia" w:cs="Georgia" w:eastAsia="Georgia" w:hAnsi="Georgia"/>
          <w:b/>
          <w:bCs/>
          <w:color w:val="B85A2A"/>
          <w:sz w:val="92"/>
          <w:szCs w:val="92"/>
        </w:rPr>
        <w:t xml:space="preserve">Workit</w:t>
      </w:r>
    </w:p>
    <w:p>
      <w:pPr>
        <w:spacing w:after="60"/>
        <w:jc w:val="center"/>
      </w:pPr>
      <w:r>
        <w:rPr>
          <w:i/>
          <w:iCs/>
          <w:color w:val="7A6A5E"/>
          <w:sz w:val="28"/>
          <w:szCs w:val="28"/>
        </w:rPr>
        <w:t xml:space="preserve">Work it. Earn it.</w:t>
      </w:r>
    </w:p>
    <w:p>
      <w:pPr>
        <w:spacing w:after="40" w:before="480"/>
        <w:jc w:val="center"/>
      </w:pPr>
      <w:r>
        <w:rPr>
          <w:rFonts w:ascii="Georgia" w:cs="Georgia" w:eastAsia="Georgia" w:hAnsi="Georgia"/>
          <w:color w:val="1F1612"/>
          <w:sz w:val="40"/>
          <w:szCs w:val="40"/>
        </w:rPr>
        <w:t xml:space="preserve">Business Plan</w:t>
      </w:r>
    </w:p>
    <w:p>
      <w:pPr>
        <w:spacing w:after="30"/>
        <w:jc w:val="center"/>
      </w:pPr>
      <w:r>
        <w:rPr>
          <w:color w:val="4A3A30"/>
          <w:sz w:val="22"/>
          <w:szCs w:val="22"/>
        </w:rPr>
        <w:t xml:space="preserve">South Africa's people-first work marketplace</w:t>
      </w:r>
    </w:p>
    <w:p>
      <w:pPr>
        <w:spacing w:after="20" w:before="900"/>
        <w:jc w:val="center"/>
      </w:pPr>
      <w:r>
        <w:rPr>
          <w:b/>
          <w:bCs/>
          <w:color w:val="1F1612"/>
          <w:sz w:val="24"/>
          <w:szCs w:val="24"/>
        </w:rPr>
        <w:t xml:space="preserve">Furthersky Solutions</w:t>
      </w:r>
    </w:p>
    <w:p>
      <w:pPr>
        <w:spacing w:after="16"/>
        <w:jc w:val="center"/>
      </w:pPr>
      <w:r>
        <w:rPr>
          <w:color w:val="7A6A5E"/>
          <w:sz w:val="19"/>
          <w:szCs w:val="19"/>
        </w:rPr>
        <w:t xml:space="preserve">Registration No. 2024/163230/07</w:t>
      </w:r>
    </w:p>
    <w:p>
      <w:pPr>
        <w:spacing w:after="16"/>
        <w:jc w:val="center"/>
      </w:pPr>
      <w:r>
        <w:rPr>
          <w:color w:val="7A6A5E"/>
          <w:sz w:val="19"/>
          <w:szCs w:val="19"/>
        </w:rPr>
        <w:t xml:space="preserve">workitsa.co.za  ·  tshepowayne2@gmail.com</w:t>
      </w:r>
    </w:p>
    <w:p>
      <w:pPr>
        <w:spacing w:before="600"/>
        <w:jc w:val="center"/>
      </w:pPr>
      <w:r>
        <w:rPr>
          <w:color w:val="7A6A5E"/>
          <w:sz w:val="18"/>
          <w:szCs w:val="18"/>
        </w:rPr>
        <w:t xml:space="preserve">June 2026  ·  Confidential</w:t>
      </w:r>
    </w:p>
    <w:p>
      <w:r>
        <w:br w:type="page"/>
      </w:r>
    </w:p>
    <w:p>
      <w:pPr>
        <w:pStyle w:val="Heading1"/>
        <w:pBdr>
          <w:bottom w:val="single" w:color="E5D9C4" w:sz="4" w:space="4"/>
        </w:pBdr>
        <w:spacing w:after="140" w:before="320"/>
      </w:pPr>
      <w:r>
        <w:rPr>
          <w:rFonts w:ascii="Georgia" w:cs="Georgia" w:eastAsia="Georgia" w:hAnsi="Georgia"/>
          <w:b/>
          <w:bCs/>
          <w:color w:val="8F4220"/>
          <w:sz w:val="30"/>
          <w:szCs w:val="30"/>
        </w:rPr>
        <w:t xml:space="preserve">1. Executive summary</w:t>
      </w:r>
    </w:p>
    <w:p>
      <w:pPr>
        <w:spacing w:after="160" w:line="300"/>
      </w:pPr>
      <w:r>
        <w:rPr>
          <w:color w:val="4A3A30"/>
          <w:sz w:val="21"/>
          <w:szCs w:val="21"/>
        </w:rPr>
        <w:t xml:space="preserve">Workit is a mobile-first work marketplace that connects South Africans who need everyday jobs done — gardening, cleaning, skilled trades, deliveries, errands and personal services — with skilled, identity-verified workers nearby. Think of it as a trusted, Uber-style layer over the informal economy: an employer posts a job in about two minutes, nearby workers send offers, both sides agree a price, the work gets done, and each rates the other.</w:t>
      </w:r>
    </w:p>
    <w:p>
      <w:pPr>
        <w:spacing w:after="160" w:line="300"/>
      </w:pPr>
      <w:r>
        <w:rPr>
          <w:color w:val="4A3A30"/>
          <w:sz w:val="21"/>
          <w:szCs w:val="21"/>
        </w:rPr>
        <w:t xml:space="preserve">The platform is live at workitsa.co.za, built and operating in Gauteng, with the technology, trust-and-safety systems and admin tooling already shipped. Workit is a product of Furthersky Solutions (Reg. 2024/163230/07), founded by Tshepo M.</w:t>
      </w:r>
    </w:p>
    <w:p>
      <w:pPr>
        <w:spacing w:after="160" w:line="300"/>
      </w:pPr>
      <w:r>
        <w:rPr>
          <w:color w:val="4A3A30"/>
          <w:sz w:val="21"/>
          <w:szCs w:val="21"/>
        </w:rPr>
        <w:t xml:space="preserve">Workit exists to attack one of South Africa's most urgent problems — </w:t>
      </w:r>
      <w:r>
        <w:rPr>
          <w:b/>
          <w:bCs/>
          <w:color w:val="1F1612"/>
          <w:sz w:val="21"/>
          <w:szCs w:val="21"/>
        </w:rPr>
        <w:t xml:space="preserve">youth and informal-sector unemployment</w:t>
      </w:r>
      <w:r>
        <w:rPr>
          <w:color w:val="4A3A30"/>
          <w:sz w:val="21"/>
          <w:szCs w:val="21"/>
        </w:rPr>
        <w:t xml:space="preserve"> — by turning a smartphone into a doorway to dignified, on-demand work, while giving households and small businesses a safer, faster way to hire.</w:t>
      </w:r>
    </w:p>
    <w:p>
      <w:pPr>
        <w:spacing w:after="160" w:line="300"/>
      </w:pPr>
      <w:r>
        <w:rPr>
          <w:color w:val="4A3A30"/>
          <w:sz w:val="21"/>
          <w:szCs w:val="21"/>
        </w:rPr>
        <w:t xml:space="preserve">We are seeking </w:t>
      </w:r>
      <w:r>
        <w:rPr>
          <w:b/>
          <w:bCs/>
          <w:color w:val="8F4220"/>
          <w:sz w:val="21"/>
          <w:szCs w:val="21"/>
        </w:rPr>
        <w:t xml:space="preserve">R250,000 in grant funding</w:t>
      </w:r>
      <w:r>
        <w:rPr>
          <w:color w:val="4A3A30"/>
          <w:sz w:val="21"/>
          <w:szCs w:val="21"/>
        </w:rPr>
        <w:t xml:space="preserve"> to fund a full year of go-to-market in Gauteng: on-the-ground worker onboarding and verification, community-level marketing, and the operational runway to reach marketplace liquidity. The product is built; this funding turns it into traction.</w:t>
      </w:r>
    </w:p>
    <w:p>
      <w:pPr>
        <w:pStyle w:val="Heading1"/>
        <w:pBdr>
          <w:bottom w:val="single" w:color="E5D9C4" w:sz="4" w:space="4"/>
        </w:pBdr>
        <w:spacing w:after="140" w:before="320"/>
      </w:pPr>
      <w:r>
        <w:rPr>
          <w:rFonts w:ascii="Georgia" w:cs="Georgia" w:eastAsia="Georgia" w:hAnsi="Georgia"/>
          <w:b/>
          <w:bCs/>
          <w:color w:val="8F4220"/>
          <w:sz w:val="30"/>
          <w:szCs w:val="30"/>
        </w:rPr>
        <w:t xml:space="preserve">2. The problem</w:t>
      </w:r>
    </w:p>
    <w:p>
      <w:pPr>
        <w:spacing w:after="160" w:line="300"/>
      </w:pPr>
      <w:r>
        <w:rPr>
          <w:color w:val="4A3A30"/>
          <w:sz w:val="21"/>
          <w:szCs w:val="21"/>
        </w:rPr>
        <w:t xml:space="preserve">South Africa has one of the highest youth unemployment rates in the world — official statistics put it above 45%, and far higher by the expanded definition. Millions of capable people — gardeners, painters, cleaners, plumbers, drivers, handymen — are ready and willing to work but have no reliable, trusted channel to find it. They depend on word of mouth, roadside gathering points, and luck.</w:t>
      </w:r>
    </w:p>
    <w:p>
      <w:pPr>
        <w:spacing w:after="160" w:line="300"/>
      </w:pPr>
      <w:r>
        <w:rPr>
          <w:color w:val="4A3A30"/>
          <w:sz w:val="21"/>
          <w:szCs w:val="21"/>
        </w:rPr>
        <w:t xml:space="preserve">On the other side, households and small businesses that need work done face the mirror-image problem: no easy way to find someone nearby they can trust, no way to check a worker's track record, and real safety concerns about letting a stranger into their home. Existing platforms cover narrow niches (one company for domestic cleaning, another for a single trade) and skew to wealthier, urban, data-rich users.</w:t>
      </w:r>
    </w:p>
    <w:p>
      <w:pPr>
        <w:spacing w:after="160" w:line="300"/>
      </w:pPr>
      <w:r>
        <w:rPr>
          <w:color w:val="4A3A30"/>
          <w:sz w:val="21"/>
          <w:szCs w:val="21"/>
        </w:rPr>
        <w:t xml:space="preserve">The result is a vast, fragmented, low-trust market. Work that should happen doesn't; income that should flow doesn't. The gap is not a lack of workers or a lack of demand — it is the absence of trusted infrastructure to connect the two.</w:t>
      </w:r>
    </w:p>
    <w:p>
      <w:pPr>
        <w:pStyle w:val="Heading1"/>
        <w:pBdr>
          <w:bottom w:val="single" w:color="E5D9C4" w:sz="4" w:space="4"/>
        </w:pBdr>
        <w:spacing w:after="140" w:before="320"/>
      </w:pPr>
      <w:r>
        <w:rPr>
          <w:rFonts w:ascii="Georgia" w:cs="Georgia" w:eastAsia="Georgia" w:hAnsi="Georgia"/>
          <w:b/>
          <w:bCs/>
          <w:color w:val="8F4220"/>
          <w:sz w:val="30"/>
          <w:szCs w:val="30"/>
        </w:rPr>
        <w:t xml:space="preserve">3. The solution — Workit</w:t>
      </w:r>
    </w:p>
    <w:p>
      <w:pPr>
        <w:spacing w:after="160" w:line="300"/>
      </w:pPr>
      <w:r>
        <w:rPr>
          <w:color w:val="4A3A30"/>
          <w:sz w:val="21"/>
          <w:szCs w:val="21"/>
        </w:rPr>
        <w:t xml:space="preserve">Workit is a single, broad, trust-first marketplace for everyday work, built deliberately for South African conditions: low data usage, low-end Android phones, multiple languages, and cash economies. It does four things well:</w:t>
      </w:r>
    </w:p>
    <w:p>
      <w:pPr>
        <w:pStyle w:val="ListParagraph"/>
        <w:numPr>
          <w:ilvl w:val="0"/>
          <w:numId w:val="1"/>
        </w:numPr>
        <w:spacing w:after="80" w:line="290"/>
      </w:pPr>
      <w:r>
        <w:rPr>
          <w:b/>
          <w:bCs/>
          <w:color w:val="1F1612"/>
          <w:sz w:val="21"/>
          <w:szCs w:val="21"/>
        </w:rPr>
        <w:t xml:space="preserve">Matches demand to supply locally. </w:t>
      </w:r>
      <w:r>
        <w:rPr>
          <w:color w:val="4A3A30"/>
          <w:sz w:val="21"/>
          <w:szCs w:val="21"/>
        </w:rPr>
        <w:t xml:space="preserve">Employers post a job with a suggested price; nearby workers accept or send a counter-offer. Workers get a notification the moment a matching job appears near them.</w:t>
      </w:r>
    </w:p>
    <w:p>
      <w:pPr>
        <w:pStyle w:val="ListParagraph"/>
        <w:numPr>
          <w:ilvl w:val="0"/>
          <w:numId w:val="1"/>
        </w:numPr>
        <w:spacing w:after="80" w:line="290"/>
      </w:pPr>
      <w:r>
        <w:rPr>
          <w:b/>
          <w:bCs/>
          <w:color w:val="1F1612"/>
          <w:sz w:val="21"/>
          <w:szCs w:val="21"/>
        </w:rPr>
        <w:t xml:space="preserve">Builds trust on both sides. </w:t>
      </w:r>
      <w:r>
        <w:rPr>
          <w:color w:val="4A3A30"/>
          <w:sz w:val="21"/>
          <w:szCs w:val="21"/>
        </w:rPr>
        <w:t xml:space="preserve">Every worker is identity-verified by a real reviewer. Both parties rate each other after every job, building portable reputation.</w:t>
      </w:r>
    </w:p>
    <w:p>
      <w:pPr>
        <w:pStyle w:val="ListParagraph"/>
        <w:numPr>
          <w:ilvl w:val="0"/>
          <w:numId w:val="1"/>
        </w:numPr>
        <w:spacing w:after="80" w:line="290"/>
      </w:pPr>
      <w:r>
        <w:rPr>
          <w:b/>
          <w:bCs/>
          <w:color w:val="1F1612"/>
          <w:sz w:val="21"/>
          <w:szCs w:val="21"/>
        </w:rPr>
        <w:t xml:space="preserve">Keeps people safe. </w:t>
      </w:r>
      <w:r>
        <w:rPr>
          <w:color w:val="4A3A30"/>
          <w:sz w:val="21"/>
          <w:szCs w:val="21"/>
        </w:rPr>
        <w:t xml:space="preserve">In-app chat, optional live location sharing, an emergency button that dials SAPS 10111, photo proof of completion, and an admin-reviewed dispute system.</w:t>
      </w:r>
    </w:p>
    <w:p>
      <w:pPr>
        <w:pStyle w:val="ListParagraph"/>
        <w:numPr>
          <w:ilvl w:val="0"/>
          <w:numId w:val="1"/>
        </w:numPr>
        <w:spacing w:after="80" w:line="290"/>
      </w:pPr>
      <w:r>
        <w:rPr>
          <w:b/>
          <w:bCs/>
          <w:color w:val="1F1612"/>
          <w:sz w:val="21"/>
          <w:szCs w:val="21"/>
        </w:rPr>
        <w:t xml:space="preserve">Stays affordable. </w:t>
      </w:r>
      <w:r>
        <w:rPr>
          <w:color w:val="4A3A30"/>
          <w:sz w:val="21"/>
          <w:szCs w:val="21"/>
        </w:rPr>
        <w:t xml:space="preserve">Free to use during launch, no commission, payment in cash or EFT directly between the parties — no card or bank account required to start earning.</w:t>
      </w:r>
    </w:p>
    <w:p>
      <w:pPr>
        <w:spacing w:after="160" w:line="300"/>
      </w:pPr>
      <w:r>
        <w:rPr>
          <w:color w:val="4A3A30"/>
          <w:sz w:val="21"/>
          <w:szCs w:val="21"/>
        </w:rPr>
        <w:t xml:space="preserve">Categories at launch: home &amp; garden, skilled trades, moving / delivery / errands, and personal services.</w:t>
      </w:r>
    </w:p>
    <w:p>
      <w:pPr>
        <w:pStyle w:val="Heading1"/>
        <w:pBdr>
          <w:bottom w:val="single" w:color="E5D9C4" w:sz="4" w:space="4"/>
        </w:pBdr>
        <w:spacing w:after="140" w:before="320"/>
      </w:pPr>
      <w:r>
        <w:rPr>
          <w:rFonts w:ascii="Georgia" w:cs="Georgia" w:eastAsia="Georgia" w:hAnsi="Georgia"/>
          <w:b/>
          <w:bCs/>
          <w:color w:val="8F4220"/>
          <w:sz w:val="30"/>
          <w:szCs w:val="30"/>
        </w:rPr>
        <w:t xml:space="preserve">4. Traction so far</w:t>
      </w:r>
    </w:p>
    <w:p>
      <w:pPr>
        <w:spacing w:after="160" w:line="300"/>
      </w:pPr>
      <w:r>
        <w:rPr>
          <w:color w:val="4A3A30"/>
          <w:sz w:val="21"/>
          <w:szCs w:val="21"/>
        </w:rPr>
        <w:t xml:space="preserve">The platform is not a concept — it is live, and people are already earning real money through it. In its earliest pilot weeks in Gauteng, with effectively zero marketing spend: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FFFFFF" w:sz="2"/>
              <w:left w:val="single" w:color="FFFFFF" w:sz="2"/>
              <w:bottom w:val="single" w:color="FFFFFF" w:sz="2"/>
              <w:right w:val="single" w:color="FFFFFF" w:sz="2"/>
            </w:tcBorders>
            <w:shd w:fill="F3EAD9" w:val="clear"/>
            <w:tcMar>
              <w:top w:type="dxa" w:w="120"/>
              <w:left w:type="dxa" w:w="80"/>
              <w:bottom w:type="dxa" w:w="120"/>
              <w:right w:type="dxa" w:w="80"/>
            </w:tcMar>
          </w:tcPr>
          <w:p>
            <w:pPr>
              <w:spacing w:after="20"/>
              <w:jc w:val="center"/>
            </w:pPr>
            <w:r>
              <w:rPr>
                <w:rFonts w:ascii="Georgia" w:cs="Georgia" w:eastAsia="Georgia" w:hAnsi="Georgia"/>
                <w:b/>
                <w:bCs/>
                <w:color w:val="B85A2A"/>
                <w:sz w:val="34"/>
                <w:szCs w:val="34"/>
              </w:rPr>
              <w:t xml:space="preserve">16</w:t>
            </w:r>
          </w:p>
          <w:p>
            <w:pPr>
              <w:jc w:val="center"/>
            </w:pPr>
            <w:r>
              <w:rPr>
                <w:color w:val="7A6A5E"/>
                <w:sz w:val="15"/>
                <w:szCs w:val="15"/>
              </w:rPr>
              <w:t xml:space="preserve">Jobs posted</w:t>
            </w:r>
          </w:p>
        </w:tc>
        <w:tc>
          <w:tcPr>
            <w:tcW w:type="dxa" w:w="2256"/>
            <w:tcBorders>
              <w:top w:val="single" w:color="FFFFFF" w:sz="2"/>
              <w:left w:val="single" w:color="FFFFFF" w:sz="2"/>
              <w:bottom w:val="single" w:color="FFFFFF" w:sz="2"/>
              <w:right w:val="single" w:color="FFFFFF" w:sz="2"/>
            </w:tcBorders>
            <w:shd w:fill="F3EAD9" w:val="clear"/>
            <w:tcMar>
              <w:top w:type="dxa" w:w="120"/>
              <w:left w:type="dxa" w:w="80"/>
              <w:bottom w:type="dxa" w:w="120"/>
              <w:right w:type="dxa" w:w="80"/>
            </w:tcMar>
          </w:tcPr>
          <w:p>
            <w:pPr>
              <w:spacing w:after="20"/>
              <w:jc w:val="center"/>
            </w:pPr>
            <w:r>
              <w:rPr>
                <w:rFonts w:ascii="Georgia" w:cs="Georgia" w:eastAsia="Georgia" w:hAnsi="Georgia"/>
                <w:b/>
                <w:bCs/>
                <w:color w:val="B85A2A"/>
                <w:sz w:val="34"/>
                <w:szCs w:val="34"/>
              </w:rPr>
              <w:t xml:space="preserve">8</w:t>
            </w:r>
          </w:p>
          <w:p>
            <w:pPr>
              <w:jc w:val="center"/>
            </w:pPr>
            <w:r>
              <w:rPr>
                <w:color w:val="7A6A5E"/>
                <w:sz w:val="15"/>
                <w:szCs w:val="15"/>
              </w:rPr>
              <w:t xml:space="preserve">Jobs completed</w:t>
            </w:r>
          </w:p>
        </w:tc>
        <w:tc>
          <w:tcPr>
            <w:tcW w:type="dxa" w:w="2256"/>
            <w:tcBorders>
              <w:top w:val="single" w:color="FFFFFF" w:sz="2"/>
              <w:left w:val="single" w:color="FFFFFF" w:sz="2"/>
              <w:bottom w:val="single" w:color="FFFFFF" w:sz="2"/>
              <w:right w:val="single" w:color="FFFFFF" w:sz="2"/>
            </w:tcBorders>
            <w:shd w:fill="F3EAD9" w:val="clear"/>
            <w:tcMar>
              <w:top w:type="dxa" w:w="120"/>
              <w:left w:type="dxa" w:w="80"/>
              <w:bottom w:type="dxa" w:w="120"/>
              <w:right w:type="dxa" w:w="80"/>
            </w:tcMar>
          </w:tcPr>
          <w:p>
            <w:pPr>
              <w:spacing w:after="20"/>
              <w:jc w:val="center"/>
            </w:pPr>
            <w:r>
              <w:rPr>
                <w:rFonts w:ascii="Georgia" w:cs="Georgia" w:eastAsia="Georgia" w:hAnsi="Georgia"/>
                <w:b/>
                <w:bCs/>
                <w:color w:val="B85A2A"/>
                <w:sz w:val="34"/>
                <w:szCs w:val="34"/>
              </w:rPr>
              <w:t xml:space="preserve">R8,482</w:t>
            </w:r>
          </w:p>
          <w:p>
            <w:pPr>
              <w:jc w:val="center"/>
            </w:pPr>
            <w:r>
              <w:rPr>
                <w:color w:val="7A6A5E"/>
                <w:sz w:val="15"/>
                <w:szCs w:val="15"/>
              </w:rPr>
              <w:t xml:space="preserve">Earned by workers (GMV)</w:t>
            </w:r>
          </w:p>
        </w:tc>
        <w:tc>
          <w:tcPr>
            <w:tcW w:type="dxa" w:w="2256"/>
            <w:tcBorders>
              <w:top w:val="single" w:color="FFFFFF" w:sz="2"/>
              <w:left w:val="single" w:color="FFFFFF" w:sz="2"/>
              <w:bottom w:val="single" w:color="FFFFFF" w:sz="2"/>
              <w:right w:val="single" w:color="FFFFFF" w:sz="2"/>
            </w:tcBorders>
            <w:shd w:fill="F3EAD9" w:val="clear"/>
            <w:tcMar>
              <w:top w:type="dxa" w:w="120"/>
              <w:left w:type="dxa" w:w="80"/>
              <w:bottom w:type="dxa" w:w="120"/>
              <w:right w:type="dxa" w:w="80"/>
            </w:tcMar>
          </w:tcPr>
          <w:p>
            <w:pPr>
              <w:spacing w:after="20"/>
              <w:jc w:val="center"/>
            </w:pPr>
            <w:r>
              <w:rPr>
                <w:rFonts w:ascii="Georgia" w:cs="Georgia" w:eastAsia="Georgia" w:hAnsi="Georgia"/>
                <w:b/>
                <w:bCs/>
                <w:color w:val="B85A2A"/>
                <w:sz w:val="34"/>
                <w:szCs w:val="34"/>
              </w:rPr>
              <w:t xml:space="preserve">15</w:t>
            </w:r>
          </w:p>
          <w:p>
            <w:pPr>
              <w:jc w:val="center"/>
            </w:pPr>
            <w:r>
              <w:rPr>
                <w:color w:val="7A6A5E"/>
                <w:sz w:val="15"/>
                <w:szCs w:val="15"/>
              </w:rPr>
              <w:t xml:space="preserve">Members signed up</w:t>
            </w:r>
          </w:p>
        </w:tc>
      </w:tr>
    </w:tbl>
    <w:p>
      <w:pPr>
        <w:spacing w:after="80"/>
      </w:pPr>
      <w:r>
        <w:rPr>
          <w:color w:val="4A3A30"/>
          <w:sz w:val="21"/>
          <w:szCs w:val="21"/>
        </w:rPr>
        <w:t xml:space="preserve"/>
      </w:r>
    </w:p>
    <w:p>
      <w:pPr>
        <w:spacing w:after="160" w:line="300"/>
      </w:pPr>
      <w:r>
        <w:rPr>
          <w:color w:val="4A3A30"/>
          <w:sz w:val="21"/>
          <w:szCs w:val="21"/>
        </w:rPr>
        <w:t xml:space="preserve">Beyond the numbers, the full system is built and deployed: identity verification, two-sided ratings, live job tracking, the SOS safety system, a dispute-resolution workflow, an AI-assisted admin operations console, POPIA-aligned privacy controls, and a real-time analytics dashboard that measures every step of the funnel. This is a production platform ready to scale, not a prototype that still needs building.</w:t>
      </w:r>
    </w:p>
    <w:p>
      <w:pPr>
        <w:pStyle w:val="Heading1"/>
        <w:pBdr>
          <w:bottom w:val="single" w:color="E5D9C4" w:sz="4" w:space="4"/>
        </w:pBdr>
        <w:spacing w:after="140" w:before="320"/>
      </w:pPr>
      <w:r>
        <w:rPr>
          <w:rFonts w:ascii="Georgia" w:cs="Georgia" w:eastAsia="Georgia" w:hAnsi="Georgia"/>
          <w:b/>
          <w:bCs/>
          <w:color w:val="8F4220"/>
          <w:sz w:val="30"/>
          <w:szCs w:val="30"/>
        </w:rPr>
        <w:t xml:space="preserve">5. Market opportunity</w:t>
      </w:r>
    </w:p>
    <w:p>
      <w:pPr>
        <w:spacing w:after="160" w:line="300"/>
      </w:pPr>
      <w:r>
        <w:rPr>
          <w:color w:val="4A3A30"/>
          <w:sz w:val="21"/>
          <w:szCs w:val="21"/>
        </w:rPr>
        <w:t xml:space="preserve">The addressable market is the everyday-work economy of South Africa — the millions of small jobs transacted informally every month across gardening, cleaning, trades, moving, errands and personal services. Gauteng alone, the country's economic heartland, concentrates a large share of both demand (households and SMMEs) and supply (job-seeking workers).</w:t>
      </w:r>
    </w:p>
    <w:p>
      <w:pPr>
        <w:spacing w:after="160" w:line="300"/>
      </w:pPr>
      <w:r>
        <w:rPr>
          <w:color w:val="4A3A30"/>
          <w:sz w:val="21"/>
          <w:szCs w:val="21"/>
        </w:rPr>
        <w:t xml:space="preserve">Workit's wedge is breadth plus trust. Where incumbents serve a single category or a single affluent segment, Workit is a horizontal marketplace designed from the ground up for the mass market: cheap on data, simple on any phone, and built around verification and safety so that trust — the real bottleneck — is solved. The launch strategy is province-by-province, starting in Gauteng and expanding as liquidity is proven.</w:t>
      </w:r>
    </w:p>
    <w:p>
      <w:pPr>
        <w:pStyle w:val="Heading1"/>
        <w:pBdr>
          <w:bottom w:val="single" w:color="E5D9C4" w:sz="4" w:space="4"/>
        </w:pBdr>
        <w:spacing w:after="140" w:before="320"/>
      </w:pPr>
      <w:r>
        <w:rPr>
          <w:rFonts w:ascii="Georgia" w:cs="Georgia" w:eastAsia="Georgia" w:hAnsi="Georgia"/>
          <w:b/>
          <w:bCs/>
          <w:color w:val="8F4220"/>
          <w:sz w:val="30"/>
          <w:szCs w:val="30"/>
        </w:rPr>
        <w:t xml:space="preserve">6. Business model</w:t>
      </w:r>
    </w:p>
    <w:p>
      <w:pPr>
        <w:spacing w:after="160" w:line="300"/>
      </w:pPr>
      <w:r>
        <w:rPr>
          <w:color w:val="4A3A30"/>
          <w:sz w:val="21"/>
          <w:szCs w:val="21"/>
        </w:rPr>
        <w:t xml:space="preserve">Workit is free during launch to maximise the speed at which both sides join — liquidity is everything in a two-sided marketplace, and the fastest way to kill one is to charge before there is value on both sides. Revenue follows once that liquidity is established.</w:t>
      </w:r>
    </w:p>
    <w:p>
      <w:pPr>
        <w:pStyle w:val="Heading2"/>
        <w:spacing w:after="80" w:before="200"/>
      </w:pPr>
      <w:r>
        <w:rPr>
          <w:rFonts w:ascii="Georgia" w:cs="Georgia" w:eastAsia="Georgia" w:hAnsi="Georgia"/>
          <w:b/>
          <w:bCs/>
          <w:color w:val="1F1612"/>
          <w:sz w:val="23"/>
          <w:szCs w:val="23"/>
        </w:rPr>
        <w:t xml:space="preserve">Planned revenue streams</w:t>
      </w:r>
    </w:p>
    <w:p>
      <w:pPr>
        <w:pStyle w:val="ListParagraph"/>
        <w:numPr>
          <w:ilvl w:val="0"/>
          <w:numId w:val="1"/>
        </w:numPr>
        <w:spacing w:after="80" w:line="290"/>
      </w:pPr>
      <w:r>
        <w:rPr>
          <w:b/>
          <w:bCs/>
          <w:color w:val="1F1612"/>
          <w:sz w:val="21"/>
          <w:szCs w:val="21"/>
        </w:rPr>
        <w:t xml:space="preserve">Service / facilitation fee </w:t>
      </w:r>
      <w:r>
        <w:rPr>
          <w:color w:val="4A3A30"/>
          <w:sz w:val="21"/>
          <w:szCs w:val="21"/>
        </w:rPr>
        <w:t xml:space="preserve">— a light fee on confirmed jobs, introduced once workers are reliably winning paid work through the platform.</w:t>
      </w:r>
    </w:p>
    <w:p>
      <w:pPr>
        <w:pStyle w:val="ListParagraph"/>
        <w:numPr>
          <w:ilvl w:val="0"/>
          <w:numId w:val="1"/>
        </w:numPr>
        <w:spacing w:after="80" w:line="290"/>
      </w:pPr>
      <w:r>
        <w:rPr>
          <w:b/>
          <w:bCs/>
          <w:color w:val="1F1612"/>
          <w:sz w:val="21"/>
          <w:szCs w:val="21"/>
        </w:rPr>
        <w:t xml:space="preserve">Worker boosts &amp; verified tiers </w:t>
      </w:r>
      <w:r>
        <w:rPr>
          <w:color w:val="4A3A30"/>
          <w:sz w:val="21"/>
          <w:szCs w:val="21"/>
        </w:rPr>
        <w:t xml:space="preserve">— optional paid visibility and the premium “Background-Verified” gold badge (unlocked by police clearance) that employers can filter by.</w:t>
      </w:r>
    </w:p>
    <w:p>
      <w:pPr>
        <w:pStyle w:val="ListParagraph"/>
        <w:numPr>
          <w:ilvl w:val="0"/>
          <w:numId w:val="1"/>
        </w:numPr>
        <w:spacing w:after="80" w:line="290"/>
      </w:pPr>
      <w:r>
        <w:rPr>
          <w:b/>
          <w:bCs/>
          <w:color w:val="1F1612"/>
          <w:sz w:val="21"/>
          <w:szCs w:val="21"/>
        </w:rPr>
        <w:t xml:space="preserve">Business accounts </w:t>
      </w:r>
      <w:r>
        <w:rPr>
          <w:color w:val="4A3A30"/>
          <w:sz w:val="21"/>
          <w:szCs w:val="21"/>
        </w:rPr>
        <w:t xml:space="preserve">— richer profiles, directory placement and hiring tools for SMMEs that hire repeatedly.</w:t>
      </w:r>
    </w:p>
    <w:p>
      <w:pPr>
        <w:spacing w:after="160" w:line="300"/>
      </w:pPr>
      <w:r>
        <w:rPr>
          <w:color w:val="4A3A30"/>
          <w:sz w:val="21"/>
          <w:szCs w:val="21"/>
        </w:rPr>
        <w:t xml:space="preserve">The Year-1 financial model takes a deliberately conservative view: revenue begins only in the second half of the year and remains a small fraction of spend, because Year 1 is about building the network, not monetising it.</w:t>
      </w:r>
    </w:p>
    <w:p>
      <w:pPr>
        <w:pStyle w:val="Heading1"/>
        <w:pBdr>
          <w:bottom w:val="single" w:color="E5D9C4" w:sz="4" w:space="4"/>
        </w:pBdr>
        <w:spacing w:after="140" w:before="320"/>
      </w:pPr>
      <w:r>
        <w:rPr>
          <w:rFonts w:ascii="Georgia" w:cs="Georgia" w:eastAsia="Georgia" w:hAnsi="Georgia"/>
          <w:b/>
          <w:bCs/>
          <w:color w:val="8F4220"/>
          <w:sz w:val="30"/>
          <w:szCs w:val="30"/>
        </w:rPr>
        <w:t xml:space="preserve">7. Go-to-market strategy</w:t>
      </w:r>
    </w:p>
    <w:p>
      <w:pPr>
        <w:spacing w:after="160" w:line="300"/>
      </w:pPr>
      <w:r>
        <w:rPr>
          <w:color w:val="4A3A30"/>
          <w:sz w:val="21"/>
          <w:szCs w:val="21"/>
        </w:rPr>
        <w:t xml:space="preserve">The product is built; the work ahead is demand generation and supply onboarding on the ground in Gauteng. The grant funds exactly this:</w:t>
      </w:r>
    </w:p>
    <w:p>
      <w:pPr>
        <w:pStyle w:val="ListParagraph"/>
        <w:numPr>
          <w:ilvl w:val="0"/>
          <w:numId w:val="1"/>
        </w:numPr>
        <w:spacing w:after="80" w:line="290"/>
      </w:pPr>
      <w:r>
        <w:rPr>
          <w:b/>
          <w:bCs/>
          <w:color w:val="1F1612"/>
          <w:sz w:val="21"/>
          <w:szCs w:val="21"/>
        </w:rPr>
        <w:t xml:space="preserve">Worker onboarding squads. </w:t>
      </w:r>
      <w:r>
        <w:rPr>
          <w:color w:val="4A3A30"/>
          <w:sz w:val="21"/>
          <w:szCs w:val="21"/>
        </w:rPr>
        <w:t xml:space="preserve">Field ambassadors recruit and verify workers where they already gather — taxi ranks, hardware stores, township high streets — solving the cold-start supply side directly.</w:t>
      </w:r>
    </w:p>
    <w:p>
      <w:pPr>
        <w:pStyle w:val="ListParagraph"/>
        <w:numPr>
          <w:ilvl w:val="0"/>
          <w:numId w:val="1"/>
        </w:numPr>
        <w:spacing w:after="80" w:line="290"/>
      </w:pPr>
      <w:r>
        <w:rPr>
          <w:b/>
          <w:bCs/>
          <w:color w:val="1F1612"/>
          <w:sz w:val="21"/>
          <w:szCs w:val="21"/>
        </w:rPr>
        <w:t xml:space="preserve">Community-level marketing. </w:t>
      </w:r>
      <w:r>
        <w:rPr>
          <w:color w:val="4A3A30"/>
          <w:sz w:val="21"/>
          <w:szCs w:val="21"/>
        </w:rPr>
        <w:t xml:space="preserve">Low-cost, high-trust channels: local social media, community groups, printed materials, and word-of-mouth referral incentives already built into the app.</w:t>
      </w:r>
    </w:p>
    <w:p>
      <w:pPr>
        <w:pStyle w:val="ListParagraph"/>
        <w:numPr>
          <w:ilvl w:val="0"/>
          <w:numId w:val="1"/>
        </w:numPr>
        <w:spacing w:after="80" w:line="290"/>
      </w:pPr>
      <w:r>
        <w:rPr>
          <w:b/>
          <w:bCs/>
          <w:color w:val="1F1612"/>
          <w:sz w:val="21"/>
          <w:szCs w:val="21"/>
        </w:rPr>
        <w:t xml:space="preserve">Density before breadth. </w:t>
      </w:r>
      <w:r>
        <w:rPr>
          <w:color w:val="4A3A30"/>
          <w:sz w:val="21"/>
          <w:szCs w:val="21"/>
        </w:rPr>
        <w:t xml:space="preserve">Concentrate on a few Gauteng suburbs first to reach the liquidity threshold where the marketplace becomes self-sustaining, then replicate the playbook outward.</w:t>
      </w:r>
    </w:p>
    <w:p>
      <w:pPr>
        <w:pStyle w:val="ListParagraph"/>
        <w:numPr>
          <w:ilvl w:val="0"/>
          <w:numId w:val="1"/>
        </w:numPr>
        <w:spacing w:after="80" w:line="290"/>
      </w:pPr>
      <w:r>
        <w:rPr>
          <w:b/>
          <w:bCs/>
          <w:color w:val="1F1612"/>
          <w:sz w:val="21"/>
          <w:szCs w:val="21"/>
        </w:rPr>
        <w:t xml:space="preserve">Data-driven iteration. </w:t>
      </w:r>
      <w:r>
        <w:rPr>
          <w:color w:val="4A3A30"/>
          <w:sz w:val="21"/>
          <w:szCs w:val="21"/>
        </w:rPr>
        <w:t xml:space="preserve">The analytics already in place show exactly where users drop off, so every rand of marketing is aimed at the weakest point in the funnel.</w:t>
      </w:r>
    </w:p>
    <w:p>
      <w:pPr>
        <w:pStyle w:val="Heading1"/>
        <w:pBdr>
          <w:bottom w:val="single" w:color="E5D9C4" w:sz="4" w:space="4"/>
        </w:pBdr>
        <w:spacing w:after="140" w:before="320"/>
      </w:pPr>
      <w:r>
        <w:rPr>
          <w:rFonts w:ascii="Georgia" w:cs="Georgia" w:eastAsia="Georgia" w:hAnsi="Georgia"/>
          <w:b/>
          <w:bCs/>
          <w:color w:val="8F4220"/>
          <w:sz w:val="30"/>
          <w:szCs w:val="30"/>
        </w:rPr>
        <w:t xml:space="preserve">8. Competition &amp; differentiation</w:t>
      </w:r>
    </w:p>
    <w:p>
      <w:pPr>
        <w:spacing w:after="160" w:line="300"/>
      </w:pPr>
      <w:r>
        <w:rPr>
          <w:color w:val="4A3A30"/>
          <w:sz w:val="21"/>
          <w:szCs w:val="21"/>
        </w:rPr>
        <w:t xml:space="preserve">Existing South African platforms tend to be vertical (a single service category) or premium (serving affluent, urban, card-paying users). Workit's differentiators are structural:</w:t>
      </w:r>
    </w:p>
    <w:p>
      <w:pPr>
        <w:pStyle w:val="ListParagraph"/>
        <w:numPr>
          <w:ilvl w:val="0"/>
          <w:numId w:val="1"/>
        </w:numPr>
        <w:spacing w:after="80" w:line="290"/>
      </w:pPr>
      <w:r>
        <w:rPr>
          <w:b/>
          <w:bCs/>
          <w:color w:val="1F1612"/>
          <w:sz w:val="21"/>
          <w:szCs w:val="21"/>
        </w:rPr>
        <w:t xml:space="preserve">Broad, not niche </w:t>
      </w:r>
      <w:r>
        <w:rPr>
          <w:color w:val="4A3A30"/>
          <w:sz w:val="21"/>
          <w:szCs w:val="21"/>
        </w:rPr>
        <w:t xml:space="preserve">— one marketplace for all everyday work, so a worker and an employer have many reasons to return.</w:t>
      </w:r>
    </w:p>
    <w:p>
      <w:pPr>
        <w:pStyle w:val="ListParagraph"/>
        <w:numPr>
          <w:ilvl w:val="0"/>
          <w:numId w:val="1"/>
        </w:numPr>
        <w:spacing w:after="80" w:line="290"/>
      </w:pPr>
      <w:r>
        <w:rPr>
          <w:b/>
          <w:bCs/>
          <w:color w:val="1F1612"/>
          <w:sz w:val="21"/>
          <w:szCs w:val="21"/>
        </w:rPr>
        <w:t xml:space="preserve">Trust-first </w:t>
      </w:r>
      <w:r>
        <w:rPr>
          <w:color w:val="4A3A30"/>
          <w:sz w:val="21"/>
          <w:szCs w:val="21"/>
        </w:rPr>
        <w:t xml:space="preserve">— real human verification, two-sided ratings and built-in safety, rather than an unvetted listings board.</w:t>
      </w:r>
    </w:p>
    <w:p>
      <w:pPr>
        <w:pStyle w:val="ListParagraph"/>
        <w:numPr>
          <w:ilvl w:val="0"/>
          <w:numId w:val="1"/>
        </w:numPr>
        <w:spacing w:after="80" w:line="290"/>
      </w:pPr>
      <w:r>
        <w:rPr>
          <w:b/>
          <w:bCs/>
          <w:color w:val="1F1612"/>
          <w:sz w:val="21"/>
          <w:szCs w:val="21"/>
        </w:rPr>
        <w:t xml:space="preserve">Built for the mass market </w:t>
      </w:r>
      <w:r>
        <w:rPr>
          <w:color w:val="4A3A30"/>
          <w:sz w:val="21"/>
          <w:szCs w:val="21"/>
        </w:rPr>
        <w:t xml:space="preserve">— low data, low-end devices, cash-friendly, multilingual-ready — reaching the South Africans incumbents ignore.</w:t>
      </w:r>
    </w:p>
    <w:p>
      <w:pPr>
        <w:pStyle w:val="ListParagraph"/>
        <w:numPr>
          <w:ilvl w:val="0"/>
          <w:numId w:val="1"/>
        </w:numPr>
        <w:spacing w:after="80" w:line="290"/>
      </w:pPr>
      <w:r>
        <w:rPr>
          <w:b/>
          <w:bCs/>
          <w:color w:val="1F1612"/>
          <w:sz w:val="21"/>
          <w:szCs w:val="21"/>
        </w:rPr>
        <w:t xml:space="preserve">Local and mission-driven </w:t>
      </w:r>
      <w:r>
        <w:rPr>
          <w:color w:val="4A3A30"/>
          <w:sz w:val="21"/>
          <w:szCs w:val="21"/>
        </w:rPr>
        <w:t xml:space="preserve">— founded in South Africa to fight South African unemployment, not a foreign model bolted on.</w:t>
      </w:r>
    </w:p>
    <w:p>
      <w:pPr>
        <w:pStyle w:val="Heading1"/>
        <w:pBdr>
          <w:bottom w:val="single" w:color="E5D9C4" w:sz="4" w:space="4"/>
        </w:pBdr>
        <w:spacing w:after="140" w:before="320"/>
      </w:pPr>
      <w:r>
        <w:rPr>
          <w:rFonts w:ascii="Georgia" w:cs="Georgia" w:eastAsia="Georgia" w:hAnsi="Georgia"/>
          <w:b/>
          <w:bCs/>
          <w:color w:val="8F4220"/>
          <w:sz w:val="30"/>
          <w:szCs w:val="30"/>
        </w:rPr>
        <w:t xml:space="preserve">9. Technology &amp; operations</w:t>
      </w:r>
    </w:p>
    <w:p>
      <w:pPr>
        <w:spacing w:after="160" w:line="300"/>
      </w:pPr>
      <w:r>
        <w:rPr>
          <w:color w:val="4A3A30"/>
          <w:sz w:val="21"/>
          <w:szCs w:val="21"/>
        </w:rPr>
        <w:t xml:space="preserve">Workit runs as a Progressive Web App (installable like a native app, with offline support and push notifications) on Google Cloud / Firebase infrastructure hosted in the africa-south1 region for speed and data residency. The stack is modern, secure and inexpensive to run, and scales automatically with demand.</w:t>
      </w:r>
    </w:p>
    <w:p>
      <w:pPr>
        <w:spacing w:after="160" w:line="300"/>
      </w:pPr>
      <w:r>
        <w:rPr>
          <w:color w:val="4A3A30"/>
          <w:sz w:val="21"/>
          <w:szCs w:val="21"/>
        </w:rPr>
        <w:t xml:space="preserve">Operationally, the admin team reviews verifications, approves accounts, and resolves disputes through a purpose-built console — accelerated by an AI assistant that drafts actions for human confirmation, a morning operations digest, and a built-in WhatsApp support channel. Security and privacy are treated as first-class: enforced admin two-factor authentication, automated content moderation, POPIA-aligned data handling with user data-export and erasure, and an automated test suite guarding the database security rules.</w:t>
      </w:r>
    </w:p>
    <w:p>
      <w:pPr>
        <w:pStyle w:val="Heading1"/>
        <w:pBdr>
          <w:bottom w:val="single" w:color="E5D9C4" w:sz="4" w:space="4"/>
        </w:pBdr>
        <w:spacing w:after="140" w:before="320"/>
      </w:pPr>
      <w:r>
        <w:rPr>
          <w:rFonts w:ascii="Georgia" w:cs="Georgia" w:eastAsia="Georgia" w:hAnsi="Georgia"/>
          <w:b/>
          <w:bCs/>
          <w:color w:val="8F4220"/>
          <w:sz w:val="30"/>
          <w:szCs w:val="30"/>
        </w:rPr>
        <w:t xml:space="preserve">10. Trust &amp; safety</w:t>
      </w:r>
    </w:p>
    <w:p>
      <w:pPr>
        <w:spacing w:after="160" w:line="300"/>
      </w:pPr>
      <w:r>
        <w:rPr>
          <w:color w:val="4A3A30"/>
          <w:sz w:val="21"/>
          <w:szCs w:val="21"/>
        </w:rPr>
        <w:t xml:space="preserve">Because Workit sends workers into homes and businesses and handles sensitive identity data, trust and safety are the core of the product, not an afterthought:</w:t>
      </w:r>
    </w:p>
    <w:p>
      <w:pPr>
        <w:pStyle w:val="ListParagraph"/>
        <w:numPr>
          <w:ilvl w:val="0"/>
          <w:numId w:val="1"/>
        </w:numPr>
        <w:spacing w:after="80" w:line="290"/>
      </w:pPr>
      <w:r>
        <w:rPr>
          <w:color w:val="4A3A30"/>
          <w:sz w:val="21"/>
          <w:szCs w:val="21"/>
        </w:rPr>
        <w:t xml:space="preserve">Worker verification: SA ID, a selfie/liveness video, proof of address, and proof of skill — reviewed by a real person before approval.</w:t>
      </w:r>
    </w:p>
    <w:p>
      <w:pPr>
        <w:pStyle w:val="ListParagraph"/>
        <w:numPr>
          <w:ilvl w:val="0"/>
          <w:numId w:val="1"/>
        </w:numPr>
        <w:spacing w:after="80" w:line="290"/>
      </w:pPr>
      <w:r>
        <w:rPr>
          <w:color w:val="4A3A30"/>
          <w:sz w:val="21"/>
          <w:szCs w:val="21"/>
        </w:rPr>
        <w:t xml:space="preserve">An optional “Background-Verified” gold badge unlocked by a police clearance certificate, which employers can filter for.</w:t>
      </w:r>
    </w:p>
    <w:p>
      <w:pPr>
        <w:pStyle w:val="ListParagraph"/>
        <w:numPr>
          <w:ilvl w:val="0"/>
          <w:numId w:val="1"/>
        </w:numPr>
        <w:spacing w:after="80" w:line="290"/>
      </w:pPr>
      <w:r>
        <w:rPr>
          <w:color w:val="4A3A30"/>
          <w:sz w:val="21"/>
          <w:szCs w:val="21"/>
        </w:rPr>
        <w:t xml:space="preserve">Two-way ratings and reputation badges after every completed job.</w:t>
      </w:r>
    </w:p>
    <w:p>
      <w:pPr>
        <w:pStyle w:val="ListParagraph"/>
        <w:numPr>
          <w:ilvl w:val="0"/>
          <w:numId w:val="1"/>
        </w:numPr>
        <w:spacing w:after="80" w:line="290"/>
      </w:pPr>
      <w:r>
        <w:rPr>
          <w:color w:val="4A3A30"/>
          <w:sz w:val="21"/>
          <w:szCs w:val="21"/>
        </w:rPr>
        <w:t xml:space="preserve">In-app messaging, opt-in live location sharing, and an emergency button that dials SAPS 10111.</w:t>
      </w:r>
    </w:p>
    <w:p>
      <w:pPr>
        <w:pStyle w:val="ListParagraph"/>
        <w:numPr>
          <w:ilvl w:val="0"/>
          <w:numId w:val="1"/>
        </w:numPr>
        <w:spacing w:after="80" w:line="290"/>
      </w:pPr>
      <w:r>
        <w:rPr>
          <w:color w:val="4A3A30"/>
          <w:sz w:val="21"/>
          <w:szCs w:val="21"/>
        </w:rPr>
        <w:t xml:space="preserve">Photo evidence on completion and an admin-reviewed dispute system that freezes a job until resolved.</w:t>
      </w:r>
    </w:p>
    <w:p>
      <w:pPr>
        <w:pStyle w:val="Heading1"/>
        <w:pBdr>
          <w:bottom w:val="single" w:color="E5D9C4" w:sz="4" w:space="4"/>
        </w:pBdr>
        <w:spacing w:after="140" w:before="320"/>
      </w:pPr>
      <w:r>
        <w:rPr>
          <w:rFonts w:ascii="Georgia" w:cs="Georgia" w:eastAsia="Georgia" w:hAnsi="Georgia"/>
          <w:b/>
          <w:bCs/>
          <w:color w:val="8F4220"/>
          <w:sz w:val="30"/>
          <w:szCs w:val="30"/>
        </w:rPr>
        <w:t xml:space="preserve">11. Team</w:t>
      </w:r>
    </w:p>
    <w:p>
      <w:pPr>
        <w:spacing w:after="160" w:line="300"/>
      </w:pPr>
      <w:r>
        <w:rPr>
          <w:b/>
          <w:bCs/>
          <w:color w:val="1F1612"/>
          <w:sz w:val="21"/>
          <w:szCs w:val="21"/>
        </w:rPr>
        <w:t xml:space="preserve">Tshepo M — Founder. </w:t>
      </w:r>
      <w:r>
        <w:rPr>
          <w:color w:val="4A3A30"/>
          <w:sz w:val="21"/>
          <w:szCs w:val="21"/>
        </w:rPr>
        <w:t xml:space="preserve">Conceived, built and shipped the Workit platform end to end, and leads product, technology and strategy.</w:t>
      </w:r>
    </w:p>
    <w:p>
      <w:pPr>
        <w:spacing w:after="160" w:line="300"/>
      </w:pPr>
      <w:r>
        <w:rPr>
          <w:b/>
          <w:bCs/>
          <w:color w:val="1F1612"/>
          <w:sz w:val="21"/>
          <w:szCs w:val="21"/>
        </w:rPr>
        <w:t xml:space="preserve">Simphiwe Msibi — Operations &amp; Administration. </w:t>
      </w:r>
      <w:r>
        <w:rPr>
          <w:color w:val="4A3A30"/>
          <w:sz w:val="21"/>
          <w:szCs w:val="21"/>
        </w:rPr>
        <w:t xml:space="preserve">Manages day-to-day operations: account approvals, worker verification, support and dispute resolution.</w:t>
      </w:r>
    </w:p>
    <w:p>
      <w:pPr>
        <w:spacing w:after="160" w:line="300"/>
      </w:pPr>
      <w:r>
        <w:rPr>
          <w:color w:val="4A3A30"/>
          <w:sz w:val="21"/>
          <w:szCs w:val="21"/>
        </w:rPr>
        <w:t xml:space="preserve">The team operates under Furthersky Solutions and is supported by a documented operating playbook, so the platform can be run reliably and onboard additional operators as it scales.</w:t>
      </w:r>
    </w:p>
    <w:p>
      <w:pPr>
        <w:pStyle w:val="Heading1"/>
        <w:pBdr>
          <w:bottom w:val="single" w:color="E5D9C4" w:sz="4" w:space="4"/>
        </w:pBdr>
        <w:spacing w:after="140" w:before="320"/>
      </w:pPr>
      <w:r>
        <w:rPr>
          <w:rFonts w:ascii="Georgia" w:cs="Georgia" w:eastAsia="Georgia" w:hAnsi="Georgia"/>
          <w:b/>
          <w:bCs/>
          <w:color w:val="8F4220"/>
          <w:sz w:val="30"/>
          <w:szCs w:val="30"/>
        </w:rPr>
        <w:t xml:space="preserve">12. Social impact</w:t>
      </w:r>
    </w:p>
    <w:p>
      <w:pPr>
        <w:spacing w:after="160" w:line="300"/>
      </w:pPr>
      <w:r>
        <w:rPr>
          <w:color w:val="4A3A30"/>
          <w:sz w:val="21"/>
          <w:szCs w:val="21"/>
        </w:rPr>
        <w:t xml:space="preserve">Workit's commercial model and its social mission are the same thing: every completed job is income earned by someone who needed it. The platform is built to create dignified work opportunities for unemployed and underemployed South Africans — particularly young people and informal-sector workers — and to do so safely and at scale.</w:t>
      </w:r>
    </w:p>
    <w:p>
      <w:pPr>
        <w:spacing w:after="160" w:line="300"/>
      </w:pPr>
      <w:r>
        <w:rPr>
          <w:color w:val="4A3A30"/>
          <w:sz w:val="21"/>
          <w:szCs w:val="21"/>
        </w:rPr>
        <w:t xml:space="preserve">In its earliest weeks, Workit has already channelled </w:t>
      </w:r>
      <w:r>
        <w:rPr>
          <w:b/>
          <w:bCs/>
          <w:color w:val="1F1612"/>
          <w:sz w:val="21"/>
          <w:szCs w:val="21"/>
        </w:rPr>
        <w:t xml:space="preserve">R8,482</w:t>
      </w:r>
      <w:r>
        <w:rPr>
          <w:color w:val="4A3A30"/>
          <w:sz w:val="21"/>
          <w:szCs w:val="21"/>
        </w:rPr>
        <w:t xml:space="preserve"> directly to workers. With funding, that figure compounds: more workers verified, more jobs matched, more rand into the hands of people building their livelihoods. The platform measures this impact natively, so social outcomes can be reported to funders with real data.</w:t>
      </w:r>
    </w:p>
    <w:p>
      <w:pPr>
        <w:pStyle w:val="Heading1"/>
        <w:pBdr>
          <w:bottom w:val="single" w:color="E5D9C4" w:sz="4" w:space="4"/>
        </w:pBdr>
        <w:spacing w:after="140" w:before="320"/>
      </w:pPr>
      <w:r>
        <w:rPr>
          <w:rFonts w:ascii="Georgia" w:cs="Georgia" w:eastAsia="Georgia" w:hAnsi="Georgia"/>
          <w:b/>
          <w:bCs/>
          <w:color w:val="8F4220"/>
          <w:sz w:val="30"/>
          <w:szCs w:val="30"/>
        </w:rPr>
        <w:t xml:space="preserve">13. Financial plan &amp; use of funds</w:t>
      </w:r>
    </w:p>
    <w:p>
      <w:pPr>
        <w:spacing w:after="160" w:line="300"/>
      </w:pPr>
      <w:r>
        <w:rPr>
          <w:color w:val="4A3A30"/>
          <w:sz w:val="21"/>
          <w:szCs w:val="21"/>
        </w:rPr>
        <w:t xml:space="preserve">The grant of </w:t>
      </w:r>
      <w:r>
        <w:rPr>
          <w:b/>
          <w:bCs/>
          <w:color w:val="8F4220"/>
          <w:sz w:val="21"/>
          <w:szCs w:val="21"/>
        </w:rPr>
        <w:t xml:space="preserve">R250,000</w:t>
      </w:r>
      <w:r>
        <w:rPr>
          <w:color w:val="4A3A30"/>
          <w:sz w:val="21"/>
          <w:szCs w:val="21"/>
        </w:rPr>
        <w:t xml:space="preserve"> funds a full year of Gauteng operations. The model is conservative: revenue begins only in the second half and stays modest, so the grant — alongside founder seed capital — carries the business through Year 1 to a positive closing cash balance, by which point revenue is ramping into Year 2.</w:t>
      </w:r>
    </w:p>
    <w:p>
      <w:pPr>
        <w:pStyle w:val="Heading2"/>
        <w:spacing w:after="80" w:before="200"/>
      </w:pPr>
      <w:r>
        <w:rPr>
          <w:rFonts w:ascii="Georgia" w:cs="Georgia" w:eastAsia="Georgia" w:hAnsi="Georgia"/>
          <w:b/>
          <w:bCs/>
          <w:color w:val="1F1612"/>
          <w:sz w:val="23"/>
          <w:szCs w:val="23"/>
        </w:rPr>
        <w:t xml:space="preserve">Use of funds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2200"/>
        <w:gridCol w:w="1426"/>
      </w:tblGrid>
      <w:tr>
        <w:trPr>
          <w:tblHeader/>
        </w:trPr>
        <w:tc>
          <w:tcPr>
            <w:tcW w:type="dxa" w:w="5400"/>
            <w:tcBorders>
              <w:top w:val="single" w:color="E5D9C4" w:sz="4"/>
              <w:left w:val="single" w:color="E5D9C4" w:sz="4"/>
              <w:bottom w:val="single" w:color="E5D9C4" w:sz="4"/>
              <w:right w:val="single" w:color="E5D9C4" w:sz="4"/>
            </w:tcBorders>
            <w:shd w:fill="1F1612" w:val="clear"/>
            <w:tcMar>
              <w:top w:type="dxa" w:w="70"/>
              <w:left w:type="dxa" w:w="140"/>
              <w:bottom w:type="dxa" w:w="70"/>
              <w:right w:type="dxa" w:w="100"/>
            </w:tcMar>
          </w:tcPr>
          <w:p>
            <w:r>
              <w:rPr>
                <w:b/>
                <w:bCs/>
                <w:color w:val="FFFFFF"/>
                <w:sz w:val="19"/>
                <w:szCs w:val="19"/>
              </w:rPr>
              <w:t xml:space="preserve">Category</w:t>
            </w:r>
          </w:p>
        </w:tc>
        <w:tc>
          <w:tcPr>
            <w:tcW w:type="dxa" w:w="2200"/>
            <w:tcBorders>
              <w:top w:val="single" w:color="E5D9C4" w:sz="4"/>
              <w:left w:val="single" w:color="E5D9C4" w:sz="4"/>
              <w:bottom w:val="single" w:color="E5D9C4" w:sz="4"/>
              <w:right w:val="single" w:color="E5D9C4" w:sz="4"/>
            </w:tcBorders>
            <w:shd w:fill="1F1612" w:val="clear"/>
            <w:tcMar>
              <w:top w:type="dxa" w:w="70"/>
              <w:left w:type="dxa" w:w="100"/>
              <w:bottom w:type="dxa" w:w="70"/>
              <w:right w:type="dxa" w:w="140"/>
            </w:tcMar>
          </w:tcPr>
          <w:p>
            <w:pPr>
              <w:jc w:val="right"/>
            </w:pPr>
            <w:r>
              <w:rPr>
                <w:b/>
                <w:bCs/>
                <w:color w:val="FFFFFF"/>
                <w:sz w:val="19"/>
                <w:szCs w:val="19"/>
              </w:rPr>
              <w:t xml:space="preserve">Year 1 (R)</w:t>
            </w:r>
          </w:p>
        </w:tc>
        <w:tc>
          <w:tcPr>
            <w:tcW w:type="dxa" w:w="1426"/>
            <w:tcBorders>
              <w:top w:val="single" w:color="E5D9C4" w:sz="4"/>
              <w:left w:val="single" w:color="E5D9C4" w:sz="4"/>
              <w:bottom w:val="single" w:color="E5D9C4" w:sz="4"/>
              <w:right w:val="single" w:color="E5D9C4" w:sz="4"/>
            </w:tcBorders>
            <w:shd w:fill="1F1612" w:val="clear"/>
            <w:tcMar>
              <w:top w:type="dxa" w:w="70"/>
              <w:left w:type="dxa" w:w="100"/>
              <w:bottom w:type="dxa" w:w="70"/>
              <w:right w:type="dxa" w:w="140"/>
            </w:tcMar>
          </w:tcPr>
          <w:p>
            <w:pPr>
              <w:jc w:val="right"/>
            </w:pPr>
            <w:r>
              <w:rPr>
                <w:b/>
                <w:bCs/>
                <w:color w:val="FFFFFF"/>
                <w:sz w:val="19"/>
                <w:szCs w:val="19"/>
              </w:rPr>
              <w:t xml:space="preserve">Share</w:t>
            </w:r>
          </w:p>
        </w:tc>
      </w:tr>
      <w:tr>
        <w:tc>
          <w:tcPr>
            <w:tcW w:type="dxa" w:w="5400"/>
            <w:tcBorders>
              <w:top w:val="single" w:color="E5D9C4" w:sz="4"/>
              <w:left w:val="single" w:color="E5D9C4" w:sz="4"/>
              <w:bottom w:val="single" w:color="E5D9C4" w:sz="4"/>
              <w:right w:val="single" w:color="E5D9C4" w:sz="4"/>
            </w:tcBorders>
            <w:shd w:fill="FFFFFF" w:val="clear"/>
            <w:tcMar>
              <w:top w:type="dxa" w:w="70"/>
              <w:left w:type="dxa" w:w="140"/>
              <w:bottom w:type="dxa" w:w="70"/>
              <w:right w:type="dxa" w:w="100"/>
            </w:tcMar>
          </w:tcPr>
          <w:p>
            <w:r>
              <w:rPr>
                <w:color w:val="1F1612"/>
                <w:sz w:val="19"/>
                <w:szCs w:val="19"/>
              </w:rPr>
              <w:t xml:space="preserve">Marketing &amp; growth (activation + field ambassadors)</w:t>
            </w:r>
          </w:p>
        </w:tc>
        <w:tc>
          <w:tcPr>
            <w:tcW w:type="dxa" w:w="2200"/>
            <w:tcBorders>
              <w:top w:val="single" w:color="E5D9C4" w:sz="4"/>
              <w:left w:val="single" w:color="E5D9C4" w:sz="4"/>
              <w:bottom w:val="single" w:color="E5D9C4" w:sz="4"/>
              <w:right w:val="single" w:color="E5D9C4" w:sz="4"/>
            </w:tcBorders>
            <w:shd w:fill="FFFFFF" w:val="clear"/>
            <w:tcMar>
              <w:top w:type="dxa" w:w="70"/>
              <w:left w:type="dxa" w:w="100"/>
              <w:bottom w:type="dxa" w:w="70"/>
              <w:right w:type="dxa" w:w="140"/>
            </w:tcMar>
          </w:tcPr>
          <w:p>
            <w:pPr>
              <w:jc w:val="right"/>
            </w:pPr>
            <w:r>
              <w:rPr>
                <w:color w:val="1F1612"/>
                <w:sz w:val="19"/>
                <w:szCs w:val="19"/>
              </w:rPr>
              <w:t xml:space="preserve">68,100</w:t>
            </w:r>
          </w:p>
        </w:tc>
        <w:tc>
          <w:tcPr>
            <w:tcW w:type="dxa" w:w="1426"/>
            <w:tcBorders>
              <w:top w:val="single" w:color="E5D9C4" w:sz="4"/>
              <w:left w:val="single" w:color="E5D9C4" w:sz="4"/>
              <w:bottom w:val="single" w:color="E5D9C4" w:sz="4"/>
              <w:right w:val="single" w:color="E5D9C4" w:sz="4"/>
            </w:tcBorders>
            <w:shd w:fill="FFFFFF" w:val="clear"/>
            <w:tcMar>
              <w:top w:type="dxa" w:w="70"/>
              <w:left w:type="dxa" w:w="100"/>
              <w:bottom w:type="dxa" w:w="70"/>
              <w:right w:type="dxa" w:w="140"/>
            </w:tcMar>
          </w:tcPr>
          <w:p>
            <w:pPr>
              <w:jc w:val="right"/>
            </w:pPr>
            <w:r>
              <w:rPr>
                <w:color w:val="7A6A5E"/>
                <w:sz w:val="19"/>
                <w:szCs w:val="19"/>
              </w:rPr>
              <w:t xml:space="preserve">26.3%</w:t>
            </w:r>
          </w:p>
        </w:tc>
      </w:tr>
      <w:tr>
        <w:tc>
          <w:tcPr>
            <w:tcW w:type="dxa" w:w="5400"/>
            <w:tcBorders>
              <w:top w:val="single" w:color="E5D9C4" w:sz="4"/>
              <w:left w:val="single" w:color="E5D9C4" w:sz="4"/>
              <w:bottom w:val="single" w:color="E5D9C4" w:sz="4"/>
              <w:right w:val="single" w:color="E5D9C4" w:sz="4"/>
            </w:tcBorders>
            <w:shd w:fill="FFFFFF" w:val="clear"/>
            <w:tcMar>
              <w:top w:type="dxa" w:w="70"/>
              <w:left w:type="dxa" w:w="140"/>
              <w:bottom w:type="dxa" w:w="70"/>
              <w:right w:type="dxa" w:w="100"/>
            </w:tcMar>
          </w:tcPr>
          <w:p>
            <w:r>
              <w:rPr>
                <w:color w:val="1F1612"/>
                <w:sz w:val="19"/>
                <w:szCs w:val="19"/>
              </w:rPr>
              <w:t xml:space="preserve">People (founder + operations admin stipends)</w:t>
            </w:r>
          </w:p>
        </w:tc>
        <w:tc>
          <w:tcPr>
            <w:tcW w:type="dxa" w:w="2200"/>
            <w:tcBorders>
              <w:top w:val="single" w:color="E5D9C4" w:sz="4"/>
              <w:left w:val="single" w:color="E5D9C4" w:sz="4"/>
              <w:bottom w:val="single" w:color="E5D9C4" w:sz="4"/>
              <w:right w:val="single" w:color="E5D9C4" w:sz="4"/>
            </w:tcBorders>
            <w:shd w:fill="FFFFFF" w:val="clear"/>
            <w:tcMar>
              <w:top w:type="dxa" w:w="70"/>
              <w:left w:type="dxa" w:w="100"/>
              <w:bottom w:type="dxa" w:w="70"/>
              <w:right w:type="dxa" w:w="140"/>
            </w:tcMar>
          </w:tcPr>
          <w:p>
            <w:pPr>
              <w:jc w:val="right"/>
            </w:pPr>
            <w:r>
              <w:rPr>
                <w:color w:val="1F1612"/>
                <w:sz w:val="19"/>
                <w:szCs w:val="19"/>
              </w:rPr>
              <w:t xml:space="preserve">108,000</w:t>
            </w:r>
          </w:p>
        </w:tc>
        <w:tc>
          <w:tcPr>
            <w:tcW w:type="dxa" w:w="1426"/>
            <w:tcBorders>
              <w:top w:val="single" w:color="E5D9C4" w:sz="4"/>
              <w:left w:val="single" w:color="E5D9C4" w:sz="4"/>
              <w:bottom w:val="single" w:color="E5D9C4" w:sz="4"/>
              <w:right w:val="single" w:color="E5D9C4" w:sz="4"/>
            </w:tcBorders>
            <w:shd w:fill="FFFFFF" w:val="clear"/>
            <w:tcMar>
              <w:top w:type="dxa" w:w="70"/>
              <w:left w:type="dxa" w:w="100"/>
              <w:bottom w:type="dxa" w:w="70"/>
              <w:right w:type="dxa" w:w="140"/>
            </w:tcMar>
          </w:tcPr>
          <w:p>
            <w:pPr>
              <w:jc w:val="right"/>
            </w:pPr>
            <w:r>
              <w:rPr>
                <w:color w:val="7A6A5E"/>
                <w:sz w:val="19"/>
                <w:szCs w:val="19"/>
              </w:rPr>
              <w:t xml:space="preserve">41.7%</w:t>
            </w:r>
          </w:p>
        </w:tc>
      </w:tr>
      <w:tr>
        <w:tc>
          <w:tcPr>
            <w:tcW w:type="dxa" w:w="5400"/>
            <w:tcBorders>
              <w:top w:val="single" w:color="E5D9C4" w:sz="4"/>
              <w:left w:val="single" w:color="E5D9C4" w:sz="4"/>
              <w:bottom w:val="single" w:color="E5D9C4" w:sz="4"/>
              <w:right w:val="single" w:color="E5D9C4" w:sz="4"/>
            </w:tcBorders>
            <w:shd w:fill="FFFFFF" w:val="clear"/>
            <w:tcMar>
              <w:top w:type="dxa" w:w="70"/>
              <w:left w:type="dxa" w:w="140"/>
              <w:bottom w:type="dxa" w:w="70"/>
              <w:right w:type="dxa" w:w="100"/>
            </w:tcMar>
          </w:tcPr>
          <w:p>
            <w:r>
              <w:rPr>
                <w:color w:val="1F1612"/>
                <w:sz w:val="19"/>
                <w:szCs w:val="19"/>
              </w:rPr>
              <w:t xml:space="preserve">Infrastructure &amp; tools (cloud, software, comms)</w:t>
            </w:r>
          </w:p>
        </w:tc>
        <w:tc>
          <w:tcPr>
            <w:tcW w:type="dxa" w:w="2200"/>
            <w:tcBorders>
              <w:top w:val="single" w:color="E5D9C4" w:sz="4"/>
              <w:left w:val="single" w:color="E5D9C4" w:sz="4"/>
              <w:bottom w:val="single" w:color="E5D9C4" w:sz="4"/>
              <w:right w:val="single" w:color="E5D9C4" w:sz="4"/>
            </w:tcBorders>
            <w:shd w:fill="FFFFFF" w:val="clear"/>
            <w:tcMar>
              <w:top w:type="dxa" w:w="70"/>
              <w:left w:type="dxa" w:w="100"/>
              <w:bottom w:type="dxa" w:w="70"/>
              <w:right w:type="dxa" w:w="140"/>
            </w:tcMar>
          </w:tcPr>
          <w:p>
            <w:pPr>
              <w:jc w:val="right"/>
            </w:pPr>
            <w:r>
              <w:rPr>
                <w:color w:val="1F1612"/>
                <w:sz w:val="19"/>
                <w:szCs w:val="19"/>
              </w:rPr>
              <w:t xml:space="preserve">30,900</w:t>
            </w:r>
          </w:p>
        </w:tc>
        <w:tc>
          <w:tcPr>
            <w:tcW w:type="dxa" w:w="1426"/>
            <w:tcBorders>
              <w:top w:val="single" w:color="E5D9C4" w:sz="4"/>
              <w:left w:val="single" w:color="E5D9C4" w:sz="4"/>
              <w:bottom w:val="single" w:color="E5D9C4" w:sz="4"/>
              <w:right w:val="single" w:color="E5D9C4" w:sz="4"/>
            </w:tcBorders>
            <w:shd w:fill="FFFFFF" w:val="clear"/>
            <w:tcMar>
              <w:top w:type="dxa" w:w="70"/>
              <w:left w:type="dxa" w:w="100"/>
              <w:bottom w:type="dxa" w:w="70"/>
              <w:right w:type="dxa" w:w="140"/>
            </w:tcMar>
          </w:tcPr>
          <w:p>
            <w:pPr>
              <w:jc w:val="right"/>
            </w:pPr>
            <w:r>
              <w:rPr>
                <w:color w:val="7A6A5E"/>
                <w:sz w:val="19"/>
                <w:szCs w:val="19"/>
              </w:rPr>
              <w:t xml:space="preserve">11.9%</w:t>
            </w:r>
          </w:p>
        </w:tc>
      </w:tr>
      <w:tr>
        <w:tc>
          <w:tcPr>
            <w:tcW w:type="dxa" w:w="5400"/>
            <w:tcBorders>
              <w:top w:val="single" w:color="E5D9C4" w:sz="4"/>
              <w:left w:val="single" w:color="E5D9C4" w:sz="4"/>
              <w:bottom w:val="single" w:color="E5D9C4" w:sz="4"/>
              <w:right w:val="single" w:color="E5D9C4" w:sz="4"/>
            </w:tcBorders>
            <w:shd w:fill="FFFFFF" w:val="clear"/>
            <w:tcMar>
              <w:top w:type="dxa" w:w="70"/>
              <w:left w:type="dxa" w:w="140"/>
              <w:bottom w:type="dxa" w:w="70"/>
              <w:right w:type="dxa" w:w="100"/>
            </w:tcMar>
          </w:tcPr>
          <w:p>
            <w:r>
              <w:rPr>
                <w:color w:val="1F1612"/>
                <w:sz w:val="19"/>
                <w:szCs w:val="19"/>
              </w:rPr>
              <w:t xml:space="preserve">One-off setup (legal/POPIA, equipment, brand)</w:t>
            </w:r>
          </w:p>
        </w:tc>
        <w:tc>
          <w:tcPr>
            <w:tcW w:type="dxa" w:w="2200"/>
            <w:tcBorders>
              <w:top w:val="single" w:color="E5D9C4" w:sz="4"/>
              <w:left w:val="single" w:color="E5D9C4" w:sz="4"/>
              <w:bottom w:val="single" w:color="E5D9C4" w:sz="4"/>
              <w:right w:val="single" w:color="E5D9C4" w:sz="4"/>
            </w:tcBorders>
            <w:shd w:fill="FFFFFF" w:val="clear"/>
            <w:tcMar>
              <w:top w:type="dxa" w:w="70"/>
              <w:left w:type="dxa" w:w="100"/>
              <w:bottom w:type="dxa" w:w="70"/>
              <w:right w:type="dxa" w:w="140"/>
            </w:tcMar>
          </w:tcPr>
          <w:p>
            <w:pPr>
              <w:jc w:val="right"/>
            </w:pPr>
            <w:r>
              <w:rPr>
                <w:color w:val="1F1612"/>
                <w:sz w:val="19"/>
                <w:szCs w:val="19"/>
              </w:rPr>
              <w:t xml:space="preserve">30,500</w:t>
            </w:r>
          </w:p>
        </w:tc>
        <w:tc>
          <w:tcPr>
            <w:tcW w:type="dxa" w:w="1426"/>
            <w:tcBorders>
              <w:top w:val="single" w:color="E5D9C4" w:sz="4"/>
              <w:left w:val="single" w:color="E5D9C4" w:sz="4"/>
              <w:bottom w:val="single" w:color="E5D9C4" w:sz="4"/>
              <w:right w:val="single" w:color="E5D9C4" w:sz="4"/>
            </w:tcBorders>
            <w:shd w:fill="FFFFFF" w:val="clear"/>
            <w:tcMar>
              <w:top w:type="dxa" w:w="70"/>
              <w:left w:type="dxa" w:w="100"/>
              <w:bottom w:type="dxa" w:w="70"/>
              <w:right w:type="dxa" w:w="140"/>
            </w:tcMar>
          </w:tcPr>
          <w:p>
            <w:pPr>
              <w:jc w:val="right"/>
            </w:pPr>
            <w:r>
              <w:rPr>
                <w:color w:val="7A6A5E"/>
                <w:sz w:val="19"/>
                <w:szCs w:val="19"/>
              </w:rPr>
              <w:t xml:space="preserve">11.8%</w:t>
            </w:r>
          </w:p>
        </w:tc>
      </w:tr>
      <w:tr>
        <w:tc>
          <w:tcPr>
            <w:tcW w:type="dxa" w:w="5400"/>
            <w:tcBorders>
              <w:top w:val="single" w:color="E5D9C4" w:sz="4"/>
              <w:left w:val="single" w:color="E5D9C4" w:sz="4"/>
              <w:bottom w:val="single" w:color="E5D9C4" w:sz="4"/>
              <w:right w:val="single" w:color="E5D9C4" w:sz="4"/>
            </w:tcBorders>
            <w:shd w:fill="FFFFFF" w:val="clear"/>
            <w:tcMar>
              <w:top w:type="dxa" w:w="70"/>
              <w:left w:type="dxa" w:w="140"/>
              <w:bottom w:type="dxa" w:w="70"/>
              <w:right w:type="dxa" w:w="100"/>
            </w:tcMar>
          </w:tcPr>
          <w:p>
            <w:r>
              <w:rPr>
                <w:color w:val="1F1612"/>
                <w:sz w:val="19"/>
                <w:szCs w:val="19"/>
              </w:rPr>
              <w:t xml:space="preserve">Operations (transport, contingency)</w:t>
            </w:r>
          </w:p>
        </w:tc>
        <w:tc>
          <w:tcPr>
            <w:tcW w:type="dxa" w:w="2200"/>
            <w:tcBorders>
              <w:top w:val="single" w:color="E5D9C4" w:sz="4"/>
              <w:left w:val="single" w:color="E5D9C4" w:sz="4"/>
              <w:bottom w:val="single" w:color="E5D9C4" w:sz="4"/>
              <w:right w:val="single" w:color="E5D9C4" w:sz="4"/>
            </w:tcBorders>
            <w:shd w:fill="FFFFFF" w:val="clear"/>
            <w:tcMar>
              <w:top w:type="dxa" w:w="70"/>
              <w:left w:type="dxa" w:w="100"/>
              <w:bottom w:type="dxa" w:w="70"/>
              <w:right w:type="dxa" w:w="140"/>
            </w:tcMar>
          </w:tcPr>
          <w:p>
            <w:pPr>
              <w:jc w:val="right"/>
            </w:pPr>
            <w:r>
              <w:rPr>
                <w:color w:val="1F1612"/>
                <w:sz w:val="19"/>
                <w:szCs w:val="19"/>
              </w:rPr>
              <w:t xml:space="preserve">21,600</w:t>
            </w:r>
          </w:p>
        </w:tc>
        <w:tc>
          <w:tcPr>
            <w:tcW w:type="dxa" w:w="1426"/>
            <w:tcBorders>
              <w:top w:val="single" w:color="E5D9C4" w:sz="4"/>
              <w:left w:val="single" w:color="E5D9C4" w:sz="4"/>
              <w:bottom w:val="single" w:color="E5D9C4" w:sz="4"/>
              <w:right w:val="single" w:color="E5D9C4" w:sz="4"/>
            </w:tcBorders>
            <w:shd w:fill="FFFFFF" w:val="clear"/>
            <w:tcMar>
              <w:top w:type="dxa" w:w="70"/>
              <w:left w:type="dxa" w:w="100"/>
              <w:bottom w:type="dxa" w:w="70"/>
              <w:right w:type="dxa" w:w="140"/>
            </w:tcMar>
          </w:tcPr>
          <w:p>
            <w:pPr>
              <w:jc w:val="right"/>
            </w:pPr>
            <w:r>
              <w:rPr>
                <w:color w:val="7A6A5E"/>
                <w:sz w:val="19"/>
                <w:szCs w:val="19"/>
              </w:rPr>
              <w:t xml:space="preserve">8.3%</w:t>
            </w:r>
          </w:p>
        </w:tc>
      </w:tr>
      <w:tr>
        <w:tc>
          <w:tcPr>
            <w:tcW w:type="dxa" w:w="5400"/>
            <w:tcBorders>
              <w:top w:val="single" w:color="E5D9C4" w:sz="4"/>
              <w:left w:val="single" w:color="E5D9C4" w:sz="4"/>
              <w:bottom w:val="single" w:color="E5D9C4" w:sz="4"/>
              <w:right w:val="single" w:color="E5D9C4" w:sz="4"/>
            </w:tcBorders>
            <w:shd w:fill="F3EAD9" w:val="clear"/>
            <w:tcMar>
              <w:top w:type="dxa" w:w="70"/>
              <w:left w:type="dxa" w:w="140"/>
              <w:bottom w:type="dxa" w:w="70"/>
              <w:right w:type="dxa" w:w="100"/>
            </w:tcMar>
          </w:tcPr>
          <w:p>
            <w:r>
              <w:rPr>
                <w:b/>
                <w:bCs/>
                <w:color w:val="1F1612"/>
                <w:sz w:val="19"/>
                <w:szCs w:val="19"/>
              </w:rPr>
              <w:t xml:space="preserve">Total Year-1 spend</w:t>
            </w:r>
          </w:p>
        </w:tc>
        <w:tc>
          <w:tcPr>
            <w:tcW w:type="dxa" w:w="2200"/>
            <w:tcBorders>
              <w:top w:val="single" w:color="E5D9C4" w:sz="4"/>
              <w:left w:val="single" w:color="E5D9C4" w:sz="4"/>
              <w:bottom w:val="single" w:color="E5D9C4" w:sz="4"/>
              <w:right w:val="single" w:color="E5D9C4" w:sz="4"/>
            </w:tcBorders>
            <w:shd w:fill="F3EAD9" w:val="clear"/>
            <w:tcMar>
              <w:top w:type="dxa" w:w="70"/>
              <w:left w:type="dxa" w:w="100"/>
              <w:bottom w:type="dxa" w:w="70"/>
              <w:right w:type="dxa" w:w="140"/>
            </w:tcMar>
          </w:tcPr>
          <w:p>
            <w:pPr>
              <w:jc w:val="right"/>
            </w:pPr>
            <w:r>
              <w:rPr>
                <w:b/>
                <w:bCs/>
                <w:color w:val="1F1612"/>
                <w:sz w:val="19"/>
                <w:szCs w:val="19"/>
              </w:rPr>
              <w:t xml:space="preserve">259,100</w:t>
            </w:r>
          </w:p>
        </w:tc>
        <w:tc>
          <w:tcPr>
            <w:tcW w:type="dxa" w:w="1426"/>
            <w:tcBorders>
              <w:top w:val="single" w:color="E5D9C4" w:sz="4"/>
              <w:left w:val="single" w:color="E5D9C4" w:sz="4"/>
              <w:bottom w:val="single" w:color="E5D9C4" w:sz="4"/>
              <w:right w:val="single" w:color="E5D9C4" w:sz="4"/>
            </w:tcBorders>
            <w:shd w:fill="F3EAD9" w:val="clear"/>
            <w:tcMar>
              <w:top w:type="dxa" w:w="70"/>
              <w:left w:type="dxa" w:w="100"/>
              <w:bottom w:type="dxa" w:w="70"/>
              <w:right w:type="dxa" w:w="140"/>
            </w:tcMar>
          </w:tcPr>
          <w:p>
            <w:pPr>
              <w:jc w:val="right"/>
            </w:pPr>
            <w:r>
              <w:rPr>
                <w:b/>
                <w:bCs/>
                <w:color w:val="7A6A5E"/>
                <w:sz w:val="19"/>
                <w:szCs w:val="19"/>
              </w:rPr>
              <w:t xml:space="preserve">100%</w:t>
            </w:r>
          </w:p>
        </w:tc>
      </w:tr>
    </w:tbl>
    <w:p>
      <w:pPr>
        <w:spacing w:after="60"/>
      </w:pPr>
      <w:r>
        <w:rPr>
          <w:color w:val="4A3A30"/>
          <w:sz w:val="21"/>
          <w:szCs w:val="21"/>
        </w:rPr>
        <w:t xml:space="preserve"/>
      </w:r>
    </w:p>
    <w:p>
      <w:pPr>
        <w:spacing w:after="160" w:line="300"/>
      </w:pPr>
      <w:r>
        <w:rPr>
          <w:color w:val="4A3A30"/>
          <w:sz w:val="21"/>
          <w:szCs w:val="21"/>
        </w:rPr>
        <w:t xml:space="preserve">A detailed month-by-month cash-flow projection accompanies this plan as a separate workbook (</w:t>
      </w:r>
      <w:r>
        <w:rPr>
          <w:i/>
          <w:iCs/>
          <w:color w:val="1F1612"/>
          <w:sz w:val="21"/>
          <w:szCs w:val="21"/>
        </w:rPr>
        <w:t xml:space="preserve">Workit — 12-Month Cash Flow.xlsx</w:t>
      </w:r>
      <w:r>
        <w:rPr>
          <w:color w:val="4A3A30"/>
          <w:sz w:val="21"/>
          <w:szCs w:val="21"/>
        </w:rPr>
        <w:t xml:space="preserve">). It shows the business remaining cash-positive in every month of Year 1, ending the year with roughly R32,400 in reserve as revenue begins to build.</w:t>
      </w:r>
    </w:p>
    <w:p>
      <w:pPr>
        <w:pStyle w:val="Heading1"/>
        <w:pBdr>
          <w:bottom w:val="single" w:color="E5D9C4" w:sz="4" w:space="4"/>
        </w:pBdr>
        <w:spacing w:after="140" w:before="320"/>
      </w:pPr>
      <w:r>
        <w:rPr>
          <w:rFonts w:ascii="Georgia" w:cs="Georgia" w:eastAsia="Georgia" w:hAnsi="Georgia"/>
          <w:b/>
          <w:bCs/>
          <w:color w:val="8F4220"/>
          <w:sz w:val="30"/>
          <w:szCs w:val="30"/>
        </w:rPr>
        <w:t xml:space="preserve">14. Funding ask</w:t>
      </w:r>
    </w:p>
    <w:p>
      <w:pPr>
        <w:spacing w:after="160" w:line="300"/>
      </w:pPr>
      <w:r>
        <w:rPr>
          <w:color w:val="4A3A30"/>
          <w:sz w:val="21"/>
          <w:szCs w:val="21"/>
        </w:rPr>
        <w:t xml:space="preserve">We are requesting </w:t>
      </w:r>
      <w:r>
        <w:rPr>
          <w:b/>
          <w:bCs/>
          <w:color w:val="8F4220"/>
          <w:sz w:val="21"/>
          <w:szCs w:val="21"/>
        </w:rPr>
        <w:t xml:space="preserve">R250,000 in grant funding</w:t>
      </w:r>
      <w:r>
        <w:rPr>
          <w:color w:val="4A3A30"/>
          <w:sz w:val="21"/>
          <w:szCs w:val="21"/>
        </w:rPr>
        <w:t xml:space="preserve"> to take a built, live, working platform and turn it into a thriving marketplace across Gauteng. The product risk is behind us; this is growth capital aimed squarely at the one thing a young marketplace needs — getting verified workers and paying employers onto the platform in enough density to become self-sustaining.</w:t>
      </w:r>
    </w:p>
    <w:p>
      <w:pPr>
        <w:spacing w:after="160" w:line="300"/>
      </w:pPr>
      <w:r>
        <w:rPr>
          <w:color w:val="4A3A30"/>
          <w:sz w:val="21"/>
          <w:szCs w:val="21"/>
        </w:rPr>
        <w:t xml:space="preserve">In return, the funder backs a high-leverage, measurable intervention into youth and informal-sector unemployment: a South African solution, founder-built, already proving it works, with the systems in place to report its impact transparently.</w:t>
      </w:r>
    </w:p>
    <w:p>
      <w:pPr>
        <w:pStyle w:val="Heading1"/>
        <w:pBdr>
          <w:bottom w:val="single" w:color="E5D9C4" w:sz="4" w:space="4"/>
        </w:pBdr>
        <w:spacing w:after="140" w:before="320"/>
      </w:pPr>
      <w:r>
        <w:rPr>
          <w:rFonts w:ascii="Georgia" w:cs="Georgia" w:eastAsia="Georgia" w:hAnsi="Georgia"/>
          <w:b/>
          <w:bCs/>
          <w:color w:val="8F4220"/>
          <w:sz w:val="30"/>
          <w:szCs w:val="30"/>
        </w:rPr>
        <w:t xml:space="preserve">15. Risks &amp; mitigations</w:t>
      </w:r>
    </w:p>
    <w:p>
      <w:pPr>
        <w:spacing w:after="160" w:line="300"/>
      </w:pPr>
      <w:r>
        <w:rPr>
          <w:b/>
          <w:bCs/>
          <w:color w:val="1F1612"/>
          <w:sz w:val="21"/>
          <w:szCs w:val="21"/>
        </w:rPr>
        <w:t xml:space="preserve">Marketplace cold-start (liquidity). </w:t>
      </w:r>
      <w:r>
        <w:rPr>
          <w:color w:val="4A3A30"/>
          <w:sz w:val="21"/>
          <w:szCs w:val="21"/>
        </w:rPr>
        <w:t xml:space="preserve">Mitigated by density-first go-to-market, field onboarding of supply, and job-alert notifications that pull workers back. </w:t>
      </w:r>
    </w:p>
    <w:p>
      <w:pPr>
        <w:spacing w:after="160" w:line="300"/>
      </w:pPr>
      <w:r>
        <w:rPr>
          <w:b/>
          <w:bCs/>
          <w:color w:val="1F1612"/>
          <w:sz w:val="21"/>
          <w:szCs w:val="21"/>
        </w:rPr>
        <w:t xml:space="preserve">Trust &amp; safety incidents. </w:t>
      </w:r>
      <w:r>
        <w:rPr>
          <w:color w:val="4A3A30"/>
          <w:sz w:val="21"/>
          <w:szCs w:val="21"/>
        </w:rPr>
        <w:t xml:space="preserve">Mitigated by human verification, the SOS system, live tracking, photo proof, ratings and admin-reviewed disputes — all already live. </w:t>
      </w:r>
    </w:p>
    <w:p>
      <w:pPr>
        <w:spacing w:after="160" w:line="300"/>
      </w:pPr>
      <w:r>
        <w:rPr>
          <w:b/>
          <w:bCs/>
          <w:color w:val="1F1612"/>
          <w:sz w:val="21"/>
          <w:szCs w:val="21"/>
        </w:rPr>
        <w:t xml:space="preserve">Regulatory / data protection. </w:t>
      </w:r>
      <w:r>
        <w:rPr>
          <w:color w:val="4A3A30"/>
          <w:sz w:val="21"/>
          <w:szCs w:val="21"/>
        </w:rPr>
        <w:t xml:space="preserve">POPIA-aligned controls are built; legal sign-off and Information Officer registration are budgeted in Year 1. </w:t>
      </w:r>
    </w:p>
    <w:p>
      <w:pPr>
        <w:spacing w:after="160" w:line="300"/>
      </w:pPr>
      <w:r>
        <w:rPr>
          <w:b/>
          <w:bCs/>
          <w:color w:val="1F1612"/>
          <w:sz w:val="21"/>
          <w:szCs w:val="21"/>
        </w:rPr>
        <w:t xml:space="preserve">Monetisation timing. </w:t>
      </w:r>
      <w:r>
        <w:rPr>
          <w:color w:val="4A3A30"/>
          <w:sz w:val="21"/>
          <w:szCs w:val="21"/>
        </w:rPr>
        <w:t xml:space="preserve">Revenue is modelled conservatively and late, so the plan does not depend on it; the grant funds the runway to liquidity first. </w:t>
      </w:r>
    </w:p>
    <w:p>
      <w:pPr>
        <w:spacing w:after="160" w:line="300"/>
      </w:pPr>
      <w:r>
        <w:rPr>
          <w:b/>
          <w:bCs/>
          <w:color w:val="1F1612"/>
          <w:sz w:val="21"/>
          <w:szCs w:val="21"/>
        </w:rPr>
        <w:t xml:space="preserve">Key-person dependency. </w:t>
      </w:r>
      <w:r>
        <w:rPr>
          <w:color w:val="4A3A30"/>
          <w:sz w:val="21"/>
          <w:szCs w:val="21"/>
        </w:rPr>
        <w:t xml:space="preserve">A documented operating playbook and a second trained operator reduce reliance on any single person. </w:t>
      </w:r>
    </w:p>
    <w:p>
      <w:pPr>
        <w:pBdr>
          <w:top w:val="single" w:color="E5D9C4" w:sz="4" w:space="8"/>
        </w:pBdr>
        <w:spacing w:after="40" w:before="320"/>
      </w:pPr>
      <w:r>
        <w:rPr>
          <w:b/>
          <w:bCs/>
          <w:color w:val="1F1612"/>
          <w:sz w:val="22"/>
          <w:szCs w:val="22"/>
        </w:rPr>
        <w:t xml:space="preserve">Contact</w:t>
      </w:r>
    </w:p>
    <w:p>
      <w:pPr>
        <w:spacing w:after="160" w:line="300"/>
      </w:pPr>
      <w:r>
        <w:rPr>
          <w:color w:val="4A3A30"/>
          <w:sz w:val="21"/>
          <w:szCs w:val="21"/>
        </w:rPr>
        <w:t xml:space="preserve">Tshepo M — Founder, Furthersky Solutions</w:t>
      </w:r>
      <w:r>
        <w:rPr>
          <w:color w:val="4A3A30"/>
          <w:sz w:val="21"/>
          <w:szCs w:val="21"/>
        </w:rPr>
        <w:br/>
        <w:t xml:space="preserve">tshepowayne2@gmail.com  ·  workitsa.co.za</w:t>
      </w:r>
    </w:p>
    <w:sectPr>
      <w:footerReference w:type="default" r:id="rId7"/>
      <w:pgSz w:w="11906" w:h="16838" w:orient="portrait"/>
      <w:pgMar w:top="144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D9C4" w:sz="4" w:space="6"/>
      </w:pBdr>
      <w:tabs>
        <w:tab w:val="right" w:pos="9026"/>
      </w:tabs>
      <w:jc w:val="center"/>
    </w:pPr>
    <w:r>
      <w:rPr>
        <w:color w:val="7A6A5E"/>
        <w:sz w:val="15"/>
        <w:szCs w:val="15"/>
      </w:rPr>
      <w:t xml:space="preserve">Workit · Furthersky Solutions · Confidential</w:t>
    </w:r>
    <w:r>
      <w:rPr>
        <w:color w:val="7A6A5E"/>
        <w:sz w:val="15"/>
        <w:szCs w:val="15"/>
      </w:rPr>
      <w:t xml:space="preserve">	Page </w:t>
    </w:r>
    <w:r>
      <w:rPr>
        <w:color w:val="7A6A5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61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Workit — Business Plan</dc:title>
  <dc:creator>Furthersky Solutions</dc:creator>
  <cp:lastModifiedBy>Un-named</cp:lastModifiedBy>
  <cp:revision>1</cp:revision>
  <dcterms:created xsi:type="dcterms:W3CDTF">2026-06-13T22:52:21.950Z</dcterms:created>
  <dcterms:modified xsi:type="dcterms:W3CDTF">2026-06-13T22:52:21.956Z</dcterms:modified>
</cp:coreProperties>
</file>

<file path=docProps/custom.xml><?xml version="1.0" encoding="utf-8"?>
<Properties xmlns="http://schemas.openxmlformats.org/officeDocument/2006/custom-properties" xmlns:vt="http://schemas.openxmlformats.org/officeDocument/2006/docPropsVTypes"/>
</file>