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Georgia" w:cs="Georgia" w:eastAsia="Georgia" w:hAnsi="Georgia"/>
          <w:b/>
          <w:bCs/>
          <w:color w:val="1F1612"/>
          <w:sz w:val="72"/>
          <w:szCs w:val="72"/>
        </w:rPr>
        <w:t xml:space="preserve">Workit</w:t>
      </w:r>
    </w:p>
    <w:p>
      <w:pPr>
        <w:spacing w:after="60"/>
      </w:pPr>
      <w:r>
        <w:rPr>
          <w:rFonts w:ascii="Georgia" w:cs="Georgia" w:eastAsia="Georgia" w:hAnsi="Georgia"/>
          <w:color w:val="B85A2A"/>
          <w:sz w:val="34"/>
          <w:szCs w:val="34"/>
        </w:rPr>
        <w:t xml:space="preserve">Team Brief — Simphiwe Msibi</w:t>
      </w:r>
    </w:p>
    <w:p>
      <w:pPr>
        <w:spacing w:after="300" w:before="0"/>
      </w:pPr>
      <w:r>
        <w:rPr>
          <w:rFonts w:ascii="Segoe UI" w:cs="Segoe UI" w:eastAsia="Segoe UI" w:hAnsi="Segoe UI"/>
          <w:color w:val="7A6A5E"/>
          <w:sz w:val="19"/>
          <w:szCs w:val="19"/>
        </w:rPr>
        <w:t xml:space="preserve">Prepared by Tshepo M · 15 July 2026 · covers: brand kit, live growth numbers, and where operations focus goes next.</w:t>
      </w:r>
    </w:p>
    <w:p>
      <w:pPr>
        <w:pBdr>
          <w:bottom w:val="single" w:color="E5D9C4" w:sz="6"/>
        </w:pBdr>
        <w:spacing w:after="300"/>
      </w:pPr>
    </w:p>
    <w:p>
      <w:pPr>
        <w:spacing w:after="140" w:before="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Why this document: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you now have the second admin seat on Workit. This is everything in one place — how our brand looks so anything you make matches the site, and what the live numbers say we should do next. Nothing here is confidential legalese; it's the working picture.</w:t>
      </w:r>
    </w:p>
    <w:p>
      <w:pPr>
        <w:pStyle w:val="Heading1"/>
        <w:spacing w:after="160" w:before="340"/>
      </w:pPr>
      <w:r>
        <w:rPr>
          <w:rFonts w:ascii="Georgia" w:cs="Georgia" w:eastAsia="Georgia" w:hAnsi="Georgia"/>
          <w:b/>
          <w:bCs/>
          <w:color w:val="1F1612"/>
          <w:sz w:val="32"/>
          <w:szCs w:val="32"/>
        </w:rPr>
        <w:t xml:space="preserve">1. Brand kit — colours &amp; fonts</w:t>
      </w:r>
    </w:p>
    <w:p>
      <w:pPr>
        <w:spacing w:after="140" w:before="0"/>
      </w:pPr>
      <w:r>
        <w:rPr>
          <w:rFonts w:ascii="Segoe UI" w:cs="Segoe UI" w:eastAsia="Segoe UI" w:hAnsi="Segoe UI"/>
          <w:color w:val="4A3A30"/>
          <w:sz w:val="21"/>
          <w:szCs w:val="21"/>
        </w:rPr>
        <w:t xml:space="preserve">The whole product uses one warm, earthy palette — think SA summer, not corporate blue. If you make a poster, a WhatsApp status graphic, or a slide, pull from these exact colours (</w:t>
      </w: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ochre is the hero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; brick red is reserved for errors only — never use it decoratively).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300"/>
        <w:gridCol w:w="5660"/>
      </w:tblGrid>
      <w:tr>
        <w:trPr>
          <w:tblHeader/>
        </w:trP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1612"/>
                <w:sz w:val="19"/>
                <w:szCs w:val="19"/>
              </w:rPr>
              <w:t xml:space="preserve">Name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1612"/>
                <w:sz w:val="19"/>
                <w:szCs w:val="19"/>
              </w:rPr>
              <w:t xml:space="preserve">Swatch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1612"/>
                <w:sz w:val="19"/>
                <w:szCs w:val="19"/>
              </w:rPr>
              <w:t xml:space="preserve">Hex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3EA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b/>
                <w:bCs/>
                <w:color w:val="1F1612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Ochre 500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D97742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#D97742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Primary accent — buttons, links, active states, the brand orange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Ochre 600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B85A2A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#B85A2A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Pressed/hover accent; prices and money amounts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Ochre 100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5DBB5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#F5DBB5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Soft highlight fills and badges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Sage 600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5D7A47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#5D7A47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Positive/success accent — approvals, worker highlights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Sage 100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E2E9D4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#E2E9D4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Soft green fills behind success messages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Brick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A93226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#A93226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Errors, rejections, destructive actions ONLY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Ink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1F1612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#1F1612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Headings and primary text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Ink soft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4A3A30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#4A3A30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Ink muted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7A6A5E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#7A6A5E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Secondary text, captions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Cream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AF4EC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#FAF4EC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Cream 2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F3EAD9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#F3EAD9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Card / secondary surfaces</w:t>
            </w:r>
          </w:p>
        </w:tc>
      </w:tr>
      <w:tr>
        <w:tc>
          <w:tcPr>
            <w:tcW w:type="dxa" w:w="15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1F1612"/>
                <w:sz w:val="19"/>
                <w:szCs w:val="19"/>
              </w:rPr>
              <w:t xml:space="preserve">Line</w:t>
            </w:r>
          </w:p>
        </w:tc>
        <w:tc>
          <w:tcPr>
            <w:tcW w:type="dxa" w:w="9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shd w:fill="E5D9C4" w:val="clear"/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 </w:t>
            </w:r>
          </w:p>
        </w:tc>
        <w:tc>
          <w:tcPr>
            <w:tcW w:type="dxa" w:w="130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#E5D9C4</w:t>
            </w:r>
          </w:p>
        </w:tc>
        <w:tc>
          <w:tcPr>
            <w:tcW w:type="dxa" w:w="5660"/>
            <w:tcBorders>
              <w:top w:val="single" w:color="E5D9C4" w:sz="4"/>
              <w:left w:val="single" w:color="E5D9C4" w:sz="4"/>
              <w:bottom w:val="single" w:color="E5D9C4" w:sz="4"/>
              <w:right w:val="single" w:color="E5D9C4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Segoe UI" w:cs="Segoe UI" w:eastAsia="Segoe UI" w:hAnsi="Segoe UI"/>
                <w:color w:val="4A3A30"/>
                <w:sz w:val="19"/>
                <w:szCs w:val="19"/>
              </w:rPr>
              <w:t xml:space="preserve">Borders and dividers</w:t>
            </w:r>
          </w:p>
        </w:tc>
      </w:tr>
    </w:tbl>
    <w:p>
      <w:pPr>
        <w:spacing w:after="140" w:before="120"/>
      </w:pPr>
      <w:r>
        <w:rPr>
          <w:rFonts w:ascii="Segoe UI" w:cs="Segoe UI" w:eastAsia="Segoe UI" w:hAnsi="Segoe UI"/>
          <w:color w:val="7A6A5E"/>
          <w:sz w:val="19"/>
          <w:szCs w:val="19"/>
        </w:rPr>
        <w:t xml:space="preserve">The app also ships a dark mode with the same hues re-tuned for dark surfaces — for documents and graphics, always design on Cream (#FAF4EC) or white.</w:t>
      </w:r>
    </w:p>
    <w:p>
      <w:pPr>
        <w:pStyle w:val="Heading2"/>
        <w:spacing w:after="120" w:before="240"/>
      </w:pPr>
      <w:r>
        <w:rPr>
          <w:rFonts w:ascii="Georgia" w:cs="Georgia" w:eastAsia="Georgia" w:hAnsi="Georgia"/>
          <w:b/>
          <w:bCs/>
          <w:color w:val="B85A2A"/>
          <w:sz w:val="26"/>
          <w:szCs w:val="26"/>
        </w:rPr>
        <w:t xml:space="preserve">Fonts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Fraunces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 — display serif, used for all headings, prices, and the wordmark. Free on Google Fonts. Fallback: Georgia.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Manrope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 — the body/UI font for everything else. Free on Google Fonts. Fallback: Segoe UI / system sans.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Segoe UI" w:cs="Segoe UI" w:eastAsia="Segoe UI" w:hAnsi="Segoe UI"/>
          <w:color w:val="4A3A30"/>
          <w:sz w:val="21"/>
          <w:szCs w:val="21"/>
        </w:rPr>
        <w:t xml:space="preserve">Rule of thumb: Fraunces for the big line, Manrope for everything under it. Never more than those two fonts on one artwork.</w:t>
      </w:r>
    </w:p>
    <w:p>
      <w:r>
        <w:br w:type="page"/>
      </w:r>
    </w:p>
    <w:p>
      <w:pPr>
        <w:pStyle w:val="Heading1"/>
        <w:spacing w:after="160" w:before="340"/>
      </w:pPr>
      <w:r>
        <w:rPr>
          <w:rFonts w:ascii="Georgia" w:cs="Georgia" w:eastAsia="Georgia" w:hAnsi="Georgia"/>
          <w:b/>
          <w:bCs/>
          <w:color w:val="1F1612"/>
          <w:sz w:val="32"/>
          <w:szCs w:val="32"/>
        </w:rPr>
        <w:t xml:space="preserve">2. Users &amp; signups — where we are (live, 15 July)</w:t>
      </w:r>
    </w:p>
    <w:p>
      <w:pPr>
        <w:spacing w:after="140" w:before="0"/>
      </w:pPr>
      <w:r>
        <w:rPr>
          <w:rFonts w:ascii="Segoe UI" w:cs="Segoe UI" w:eastAsia="Segoe UI" w:hAnsi="Segoe UI"/>
          <w:color w:val="4A3A30"/>
          <w:sz w:val="21"/>
          <w:szCs w:val="21"/>
        </w:rPr>
        <w:t xml:space="preserve">Pulled straight from the production database this morning. Headline: </w:t>
      </w: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79 registered accounts — 62 workers, 17 employers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. Real growth started on </w:t>
      </w: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9 July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, the day the outreach campaigns kicked in: ±86 signups in 6 days, settling at a run-rate of 10–14 per day. (About 24 accounts — old test accounts and junk — were cleaned out on 9–11 July, so today's 79 are all real.)</w:t>
      </w:r>
    </w:p>
    <w:p>
      <w:pPr>
        <w:spacing w:after="120" w:before="40"/>
      </w:pPr>
      <w:r>
        <w:drawing>
          <wp:inline distT="0" distB="0" distL="0" distR="0">
            <wp:extent cx="5905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</w:pPr>
      <w:r>
        <w:drawing>
          <wp:inline distT="0" distB="0" distL="0" distR="0">
            <wp:extent cx="59055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The good news: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supply-side acquisition works. Workers are joining daily at basically zero cost, 22 already passed ID verification, and 26 have filled in their skills.</w:t>
      </w:r>
    </w:p>
    <w:p>
      <w:pPr>
        <w:spacing w:after="140" w:before="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The gap: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demand. Only ~4 jobs were posted in the whole 30 days and just 1 is open right now — 62 workers are competing for 1 job. Workers who see an empty feed will drift away, so getting employers to post is the single most important thing this month.</w:t>
      </w:r>
    </w:p>
    <w:p>
      <w:pPr>
        <w:spacing w:after="140" w:before="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What's already in motion: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a personal WhatsApp nudge to all 16 reachable employer accounts (drafted, Tshepo sends), offering a free boost + concierge help posting their first job. Two new product features shipped this week support this push: a payment-confirmation handshake on finished jobs, and the Work Record — a shareable proof-of-income certificate for workers (workitsa.co.za/record). Both give workers real, growing value the moment jobs flow.</w:t>
      </w:r>
    </w:p>
    <w:p>
      <w:pPr>
        <w:pStyle w:val="Heading1"/>
        <w:spacing w:after="160" w:before="340"/>
      </w:pPr>
      <w:r>
        <w:rPr>
          <w:rFonts w:ascii="Georgia" w:cs="Georgia" w:eastAsia="Georgia" w:hAnsi="Georgia"/>
          <w:b/>
          <w:bCs/>
          <w:color w:val="1F1612"/>
          <w:sz w:val="32"/>
          <w:szCs w:val="32"/>
        </w:rPr>
        <w:t xml:space="preserve">3. What this means for operations (your seat)</w:t>
      </w:r>
    </w:p>
    <w:p>
      <w:pPr>
        <w:spacing w:after="140" w:before="0"/>
      </w:pPr>
      <w:r>
        <w:rPr>
          <w:rFonts w:ascii="Segoe UI" w:cs="Segoe UI" w:eastAsia="Segoe UI" w:hAnsi="Segoe UI"/>
          <w:color w:val="4A3A30"/>
          <w:sz w:val="21"/>
          <w:szCs w:val="21"/>
        </w:rPr>
        <w:t xml:space="preserve">The numbers above translate into a short daily rhythm — roughly 20–30 minutes a day right now: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Daily approval pass.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54 of 79 accounts sit in Pending. In the admin panel the queue is split for you: “ready to review” (docs in — approve or reject same day) vs “awaiting docs” (nothing to review — send the WhatsApp/email docs reminder with one click).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Verification reviews.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Check ID docs against the fraud signals shown on each card; approve honest submissions quickly — speed here is a growth lever, workers tell each other.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Employer approvals are instant wins.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Employers have no documents — approve organic employer signups on sight so they can post.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Welcome manuals.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Every approval triggers the automatic welcome email; use the “Send welcome manual” button for anyone approved before it existed.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Support inbox.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WhatsApp support messages land in the admin Support tab — aim for same-day replies.</w:t>
      </w:r>
    </w:p>
    <w:p>
      <w:pPr>
        <w:spacing w:after="140" w:before="120"/>
      </w:pPr>
      <w:r>
        <w:rPr>
          <w:rFonts w:ascii="Segoe UI" w:cs="Segoe UI" w:eastAsia="Segoe UI" w:hAnsi="Segoe UI"/>
          <w:b/>
          <w:bCs/>
          <w:color w:val="1F1612"/>
          <w:sz w:val="21"/>
          <w:szCs w:val="21"/>
        </w:rPr>
        <w:t xml:space="preserve">Two setup items for you, once: </w:t>
      </w:r>
      <w:r>
        <w:rPr>
          <w:rFonts w:ascii="Segoe UI" w:cs="Segoe UI" w:eastAsia="Segoe UI" w:hAnsi="Segoe UI"/>
          <w:color w:val="4A3A30"/>
          <w:sz w:val="21"/>
          <w:szCs w:val="21"/>
        </w:rPr>
        <w:t xml:space="preserve">(1) enrol your authenticator app at workitsa.co.za/account/security — the admin panel requires it; (2) after Tshepo assigns your admin role, sign out and back in so it takes effect. The full how-to lives in ADMIN_GUIDE.md in the project folder.</w:t>
      </w:r>
    </w:p>
    <w:p>
      <w:pPr>
        <w:spacing w:after="140" w:before="160"/>
      </w:pPr>
      <w:r>
        <w:rPr>
          <w:rFonts w:ascii="Segoe UI" w:cs="Segoe UI" w:eastAsia="Segoe UI" w:hAnsi="Segoe UI"/>
          <w:color w:val="1F1612"/>
          <w:sz w:val="21"/>
          <w:szCs w:val="21"/>
        </w:rPr>
        <w:t xml:space="preserve">Questions → Tshepo (tshepowayne@workitsa.co.za). Welcome aboard — the next 30 days are about turning 62 ready workers into completed, paid, rated jobs.</w:t>
      </w:r>
    </w:p>
    <w:sectPr>
      <w:footerReference w:type="default" r:id="rId7"/>
      <w:pgSz w:w="11906" w:h="16838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7A6A5E"/>
        <w:sz w:val="16"/>
        <w:szCs w:val="16"/>
      </w:rPr>
      <w:t xml:space="preserve">Workit · Furthersky Solutions · workitsa.co.za — internal, please don't share outside the team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4A3A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93528f320aab8fbfc91546381f8cc662aa10b6.png"/><Relationship Id="rId9" Type="http://schemas.openxmlformats.org/officeDocument/2006/relationships/image" Target="media/08bb8bb21d05581f0f47641160f85d7d0c0845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2026-07-18T08:51:10.866Z</dcterms:created>
  <dcterms:modified xsi:type="dcterms:W3CDTF">2026-07-18T08:51:10.868Z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