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D6E3D" w14:textId="77777777" w:rsidR="00B81EF4" w:rsidRPr="00B81EF4" w:rsidRDefault="00B81EF4" w:rsidP="00B81EF4">
      <w:r w:rsidRPr="00B81EF4">
        <w:rPr>
          <w:b/>
          <w:bCs/>
        </w:rPr>
        <w:t>Model Performance Analysis Report</w:t>
      </w:r>
    </w:p>
    <w:p w14:paraId="490ADBDF" w14:textId="77777777" w:rsidR="00B81EF4" w:rsidRPr="00B81EF4" w:rsidRDefault="00B81EF4" w:rsidP="00B81EF4">
      <w:pPr>
        <w:rPr>
          <w:b/>
          <w:bCs/>
        </w:rPr>
      </w:pPr>
      <w:r w:rsidRPr="00B81EF4">
        <w:rPr>
          <w:b/>
          <w:bCs/>
        </w:rPr>
        <w:t>Introduction</w:t>
      </w:r>
    </w:p>
    <w:p w14:paraId="40A1DF51" w14:textId="77777777" w:rsidR="00B81EF4" w:rsidRPr="00B81EF4" w:rsidRDefault="00B81EF4" w:rsidP="00B81EF4">
      <w:r w:rsidRPr="00B81EF4">
        <w:t>The objective of this study was to evaluate the performance of different neural network architectures on the KMNIST dataset. We experimented with multiple model configurations by varying the number of hidden layers, activation functions, optimizers, and weight decay. The models were assessed based on their validation accuracy and final test accuracy.</w:t>
      </w:r>
    </w:p>
    <w:p w14:paraId="1D00F015" w14:textId="77777777" w:rsidR="00B81EF4" w:rsidRPr="00B81EF4" w:rsidRDefault="00B81EF4" w:rsidP="00B81EF4">
      <w:pPr>
        <w:rPr>
          <w:b/>
          <w:bCs/>
        </w:rPr>
      </w:pPr>
      <w:r w:rsidRPr="00B81EF4">
        <w:rPr>
          <w:b/>
          <w:bCs/>
        </w:rPr>
        <w:t>Key Observations</w:t>
      </w:r>
    </w:p>
    <w:p w14:paraId="48071E4F" w14:textId="77777777" w:rsidR="00B81EF4" w:rsidRPr="00B81EF4" w:rsidRDefault="00B81EF4" w:rsidP="00B81EF4">
      <w:pPr>
        <w:rPr>
          <w:b/>
          <w:bCs/>
        </w:rPr>
      </w:pPr>
      <w:r w:rsidRPr="00B81EF4">
        <w:rPr>
          <w:b/>
          <w:bCs/>
        </w:rPr>
        <w:t>Comparison of Model Configurations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987"/>
        <w:gridCol w:w="961"/>
        <w:gridCol w:w="1312"/>
        <w:gridCol w:w="2294"/>
        <w:gridCol w:w="1301"/>
      </w:tblGrid>
      <w:tr w:rsidR="00B81EF4" w:rsidRPr="00B81EF4" w14:paraId="49276ADC" w14:textId="77777777" w:rsidTr="00B81EF4">
        <w:trPr>
          <w:tblHeader/>
          <w:tblCellSpacing w:w="15" w:type="dxa"/>
        </w:trPr>
        <w:tc>
          <w:tcPr>
            <w:tcW w:w="0" w:type="auto"/>
            <w:vAlign w:val="center"/>
            <w:hideMark/>
          </w:tcPr>
          <w:p w14:paraId="54229DE1" w14:textId="77777777" w:rsidR="00B81EF4" w:rsidRPr="00B81EF4" w:rsidRDefault="00B81EF4" w:rsidP="00B81EF4">
            <w:pPr>
              <w:rPr>
                <w:b/>
                <w:bCs/>
              </w:rPr>
            </w:pPr>
            <w:r w:rsidRPr="00B81EF4">
              <w:rPr>
                <w:b/>
                <w:bCs/>
              </w:rPr>
              <w:t>Hidden Layers</w:t>
            </w:r>
          </w:p>
        </w:tc>
        <w:tc>
          <w:tcPr>
            <w:tcW w:w="0" w:type="auto"/>
            <w:vAlign w:val="center"/>
            <w:hideMark/>
          </w:tcPr>
          <w:p w14:paraId="4F0FB121" w14:textId="77777777" w:rsidR="00B81EF4" w:rsidRPr="00B81EF4" w:rsidRDefault="00B81EF4" w:rsidP="00B81EF4">
            <w:pPr>
              <w:rPr>
                <w:b/>
                <w:bCs/>
              </w:rPr>
            </w:pPr>
            <w:r w:rsidRPr="00B81EF4">
              <w:rPr>
                <w:b/>
                <w:bCs/>
              </w:rPr>
              <w:t>Activation</w:t>
            </w:r>
          </w:p>
        </w:tc>
        <w:tc>
          <w:tcPr>
            <w:tcW w:w="0" w:type="auto"/>
            <w:vAlign w:val="center"/>
            <w:hideMark/>
          </w:tcPr>
          <w:p w14:paraId="280B2A83" w14:textId="77777777" w:rsidR="00B81EF4" w:rsidRPr="00B81EF4" w:rsidRDefault="00B81EF4" w:rsidP="00B81EF4">
            <w:pPr>
              <w:rPr>
                <w:b/>
                <w:bCs/>
              </w:rPr>
            </w:pPr>
            <w:r w:rsidRPr="00B81EF4">
              <w:rPr>
                <w:b/>
                <w:bCs/>
              </w:rPr>
              <w:t>Optimizer</w:t>
            </w:r>
          </w:p>
        </w:tc>
        <w:tc>
          <w:tcPr>
            <w:tcW w:w="0" w:type="auto"/>
            <w:vAlign w:val="center"/>
            <w:hideMark/>
          </w:tcPr>
          <w:p w14:paraId="4F6AB02A" w14:textId="77777777" w:rsidR="00B81EF4" w:rsidRPr="00B81EF4" w:rsidRDefault="00B81EF4" w:rsidP="00B81EF4">
            <w:pPr>
              <w:rPr>
                <w:b/>
                <w:bCs/>
              </w:rPr>
            </w:pPr>
            <w:r w:rsidRPr="00B81EF4">
              <w:rPr>
                <w:b/>
                <w:bCs/>
              </w:rPr>
              <w:t>Weight Decay</w:t>
            </w:r>
          </w:p>
        </w:tc>
        <w:tc>
          <w:tcPr>
            <w:tcW w:w="0" w:type="auto"/>
            <w:vAlign w:val="center"/>
            <w:hideMark/>
          </w:tcPr>
          <w:p w14:paraId="4AF52D86" w14:textId="77777777" w:rsidR="00B81EF4" w:rsidRPr="00B81EF4" w:rsidRDefault="00B81EF4" w:rsidP="00B81EF4">
            <w:pPr>
              <w:rPr>
                <w:b/>
                <w:bCs/>
              </w:rPr>
            </w:pPr>
            <w:r w:rsidRPr="00B81EF4">
              <w:rPr>
                <w:b/>
                <w:bCs/>
              </w:rPr>
              <w:t>Best Validation Accuracy</w:t>
            </w:r>
          </w:p>
        </w:tc>
        <w:tc>
          <w:tcPr>
            <w:tcW w:w="0" w:type="auto"/>
            <w:vAlign w:val="center"/>
            <w:hideMark/>
          </w:tcPr>
          <w:p w14:paraId="3AE04798" w14:textId="77777777" w:rsidR="00B81EF4" w:rsidRPr="00B81EF4" w:rsidRDefault="00B81EF4" w:rsidP="00B81EF4">
            <w:pPr>
              <w:rPr>
                <w:b/>
                <w:bCs/>
              </w:rPr>
            </w:pPr>
            <w:r w:rsidRPr="00B81EF4">
              <w:rPr>
                <w:b/>
                <w:bCs/>
              </w:rPr>
              <w:t>Test Accuracy</w:t>
            </w:r>
          </w:p>
        </w:tc>
      </w:tr>
      <w:tr w:rsidR="00B81EF4" w:rsidRPr="00B81EF4" w14:paraId="4209DCDE" w14:textId="77777777" w:rsidTr="00B81EF4">
        <w:trPr>
          <w:tblCellSpacing w:w="15" w:type="dxa"/>
        </w:trPr>
        <w:tc>
          <w:tcPr>
            <w:tcW w:w="0" w:type="auto"/>
            <w:vAlign w:val="center"/>
            <w:hideMark/>
          </w:tcPr>
          <w:p w14:paraId="083B4F32" w14:textId="77777777" w:rsidR="00B81EF4" w:rsidRPr="00B81EF4" w:rsidRDefault="00B81EF4" w:rsidP="00B81EF4">
            <w:r w:rsidRPr="00B81EF4">
              <w:t>[128, 64]</w:t>
            </w:r>
          </w:p>
        </w:tc>
        <w:tc>
          <w:tcPr>
            <w:tcW w:w="0" w:type="auto"/>
            <w:vAlign w:val="center"/>
            <w:hideMark/>
          </w:tcPr>
          <w:p w14:paraId="6659D966" w14:textId="77777777" w:rsidR="00B81EF4" w:rsidRPr="00B81EF4" w:rsidRDefault="00B81EF4" w:rsidP="00B81EF4">
            <w:proofErr w:type="spellStart"/>
            <w:r w:rsidRPr="00B81EF4">
              <w:t>ReLU</w:t>
            </w:r>
            <w:proofErr w:type="spellEnd"/>
          </w:p>
        </w:tc>
        <w:tc>
          <w:tcPr>
            <w:tcW w:w="0" w:type="auto"/>
            <w:vAlign w:val="center"/>
            <w:hideMark/>
          </w:tcPr>
          <w:p w14:paraId="1FF60CA7" w14:textId="77777777" w:rsidR="00B81EF4" w:rsidRPr="00B81EF4" w:rsidRDefault="00B81EF4" w:rsidP="00B81EF4">
            <w:r w:rsidRPr="00B81EF4">
              <w:t>Adam</w:t>
            </w:r>
          </w:p>
        </w:tc>
        <w:tc>
          <w:tcPr>
            <w:tcW w:w="0" w:type="auto"/>
            <w:vAlign w:val="center"/>
            <w:hideMark/>
          </w:tcPr>
          <w:p w14:paraId="3D501A0A" w14:textId="77777777" w:rsidR="00B81EF4" w:rsidRPr="00B81EF4" w:rsidRDefault="00B81EF4" w:rsidP="00B81EF4">
            <w:r w:rsidRPr="00B81EF4">
              <w:t>0.0005</w:t>
            </w:r>
          </w:p>
        </w:tc>
        <w:tc>
          <w:tcPr>
            <w:tcW w:w="0" w:type="auto"/>
            <w:vAlign w:val="center"/>
            <w:hideMark/>
          </w:tcPr>
          <w:p w14:paraId="4503D463" w14:textId="77777777" w:rsidR="00B81EF4" w:rsidRPr="00B81EF4" w:rsidRDefault="00B81EF4" w:rsidP="00B81EF4">
            <w:r w:rsidRPr="00B81EF4">
              <w:t>95.30%</w:t>
            </w:r>
          </w:p>
        </w:tc>
        <w:tc>
          <w:tcPr>
            <w:tcW w:w="0" w:type="auto"/>
            <w:vAlign w:val="center"/>
            <w:hideMark/>
          </w:tcPr>
          <w:p w14:paraId="3EF7C33D" w14:textId="77777777" w:rsidR="00B81EF4" w:rsidRPr="00B81EF4" w:rsidRDefault="00B81EF4" w:rsidP="00B81EF4">
            <w:r w:rsidRPr="00B81EF4">
              <w:t>88.83%</w:t>
            </w:r>
          </w:p>
        </w:tc>
      </w:tr>
      <w:tr w:rsidR="00B81EF4" w:rsidRPr="00B81EF4" w14:paraId="16E79356" w14:textId="77777777" w:rsidTr="00B81EF4">
        <w:trPr>
          <w:tblCellSpacing w:w="15" w:type="dxa"/>
        </w:trPr>
        <w:tc>
          <w:tcPr>
            <w:tcW w:w="0" w:type="auto"/>
            <w:vAlign w:val="center"/>
            <w:hideMark/>
          </w:tcPr>
          <w:p w14:paraId="0F6B0519" w14:textId="77777777" w:rsidR="00B81EF4" w:rsidRPr="00B81EF4" w:rsidRDefault="00B81EF4" w:rsidP="00B81EF4">
            <w:r w:rsidRPr="00B81EF4">
              <w:t>[128, 128, 64]</w:t>
            </w:r>
          </w:p>
        </w:tc>
        <w:tc>
          <w:tcPr>
            <w:tcW w:w="0" w:type="auto"/>
            <w:vAlign w:val="center"/>
            <w:hideMark/>
          </w:tcPr>
          <w:p w14:paraId="17AF3865" w14:textId="77777777" w:rsidR="00B81EF4" w:rsidRPr="00B81EF4" w:rsidRDefault="00B81EF4" w:rsidP="00B81EF4">
            <w:proofErr w:type="spellStart"/>
            <w:r w:rsidRPr="00B81EF4">
              <w:t>ReLU</w:t>
            </w:r>
            <w:proofErr w:type="spellEnd"/>
          </w:p>
        </w:tc>
        <w:tc>
          <w:tcPr>
            <w:tcW w:w="0" w:type="auto"/>
            <w:vAlign w:val="center"/>
            <w:hideMark/>
          </w:tcPr>
          <w:p w14:paraId="381349E4" w14:textId="77777777" w:rsidR="00B81EF4" w:rsidRPr="00B81EF4" w:rsidRDefault="00B81EF4" w:rsidP="00B81EF4">
            <w:r w:rsidRPr="00B81EF4">
              <w:t>SGD</w:t>
            </w:r>
          </w:p>
        </w:tc>
        <w:tc>
          <w:tcPr>
            <w:tcW w:w="0" w:type="auto"/>
            <w:vAlign w:val="center"/>
            <w:hideMark/>
          </w:tcPr>
          <w:p w14:paraId="57068971" w14:textId="77777777" w:rsidR="00B81EF4" w:rsidRPr="00B81EF4" w:rsidRDefault="00B81EF4" w:rsidP="00B81EF4">
            <w:r w:rsidRPr="00B81EF4">
              <w:t>0.0000</w:t>
            </w:r>
          </w:p>
        </w:tc>
        <w:tc>
          <w:tcPr>
            <w:tcW w:w="0" w:type="auto"/>
            <w:vAlign w:val="center"/>
            <w:hideMark/>
          </w:tcPr>
          <w:p w14:paraId="30D3972F" w14:textId="77777777" w:rsidR="00B81EF4" w:rsidRPr="00B81EF4" w:rsidRDefault="00B81EF4" w:rsidP="00B81EF4">
            <w:r w:rsidRPr="00B81EF4">
              <w:t>84.03%</w:t>
            </w:r>
          </w:p>
        </w:tc>
        <w:tc>
          <w:tcPr>
            <w:tcW w:w="0" w:type="auto"/>
            <w:vAlign w:val="center"/>
            <w:hideMark/>
          </w:tcPr>
          <w:p w14:paraId="405BA577" w14:textId="77777777" w:rsidR="00B81EF4" w:rsidRPr="00B81EF4" w:rsidRDefault="00B81EF4" w:rsidP="00B81EF4">
            <w:r w:rsidRPr="00B81EF4">
              <w:t>71.26%</w:t>
            </w:r>
          </w:p>
        </w:tc>
      </w:tr>
      <w:tr w:rsidR="00B81EF4" w:rsidRPr="00B81EF4" w14:paraId="47ED0808" w14:textId="77777777" w:rsidTr="00B81EF4">
        <w:trPr>
          <w:tblCellSpacing w:w="15" w:type="dxa"/>
        </w:trPr>
        <w:tc>
          <w:tcPr>
            <w:tcW w:w="0" w:type="auto"/>
            <w:vAlign w:val="center"/>
            <w:hideMark/>
          </w:tcPr>
          <w:p w14:paraId="4D0BFA32" w14:textId="77777777" w:rsidR="00B81EF4" w:rsidRPr="00B81EF4" w:rsidRDefault="00B81EF4" w:rsidP="00B81EF4">
            <w:r w:rsidRPr="00B81EF4">
              <w:t>[256, 128, 64]</w:t>
            </w:r>
          </w:p>
        </w:tc>
        <w:tc>
          <w:tcPr>
            <w:tcW w:w="0" w:type="auto"/>
            <w:vAlign w:val="center"/>
            <w:hideMark/>
          </w:tcPr>
          <w:p w14:paraId="5F8A3398" w14:textId="77777777" w:rsidR="00B81EF4" w:rsidRPr="00B81EF4" w:rsidRDefault="00B81EF4" w:rsidP="00B81EF4">
            <w:r w:rsidRPr="00B81EF4">
              <w:t>Sigmoid</w:t>
            </w:r>
          </w:p>
        </w:tc>
        <w:tc>
          <w:tcPr>
            <w:tcW w:w="0" w:type="auto"/>
            <w:vAlign w:val="center"/>
            <w:hideMark/>
          </w:tcPr>
          <w:p w14:paraId="53EA297B" w14:textId="77777777" w:rsidR="00B81EF4" w:rsidRPr="00B81EF4" w:rsidRDefault="00B81EF4" w:rsidP="00B81EF4">
            <w:r w:rsidRPr="00B81EF4">
              <w:t>RMSprop</w:t>
            </w:r>
          </w:p>
        </w:tc>
        <w:tc>
          <w:tcPr>
            <w:tcW w:w="0" w:type="auto"/>
            <w:vAlign w:val="center"/>
            <w:hideMark/>
          </w:tcPr>
          <w:p w14:paraId="594636AA" w14:textId="77777777" w:rsidR="00B81EF4" w:rsidRPr="00B81EF4" w:rsidRDefault="00B81EF4" w:rsidP="00B81EF4">
            <w:r w:rsidRPr="00B81EF4">
              <w:t>0.0005</w:t>
            </w:r>
          </w:p>
        </w:tc>
        <w:tc>
          <w:tcPr>
            <w:tcW w:w="0" w:type="auto"/>
            <w:vAlign w:val="center"/>
            <w:hideMark/>
          </w:tcPr>
          <w:p w14:paraId="75ABEF92" w14:textId="77777777" w:rsidR="00B81EF4" w:rsidRPr="00B81EF4" w:rsidRDefault="00B81EF4" w:rsidP="00B81EF4">
            <w:r w:rsidRPr="00B81EF4">
              <w:t>90.03%</w:t>
            </w:r>
          </w:p>
        </w:tc>
        <w:tc>
          <w:tcPr>
            <w:tcW w:w="0" w:type="auto"/>
            <w:vAlign w:val="center"/>
            <w:hideMark/>
          </w:tcPr>
          <w:p w14:paraId="6012AFBE" w14:textId="77777777" w:rsidR="00B81EF4" w:rsidRPr="00B81EF4" w:rsidRDefault="00B81EF4" w:rsidP="00B81EF4">
            <w:r w:rsidRPr="00B81EF4">
              <w:t>78.81%</w:t>
            </w:r>
          </w:p>
        </w:tc>
      </w:tr>
      <w:tr w:rsidR="00B81EF4" w:rsidRPr="00B81EF4" w14:paraId="7019E056" w14:textId="77777777" w:rsidTr="00B81EF4">
        <w:trPr>
          <w:tblCellSpacing w:w="15" w:type="dxa"/>
        </w:trPr>
        <w:tc>
          <w:tcPr>
            <w:tcW w:w="0" w:type="auto"/>
            <w:vAlign w:val="center"/>
            <w:hideMark/>
          </w:tcPr>
          <w:p w14:paraId="6B59E5FB" w14:textId="77777777" w:rsidR="00B81EF4" w:rsidRPr="00B81EF4" w:rsidRDefault="00B81EF4" w:rsidP="00B81EF4">
            <w:r w:rsidRPr="00B81EF4">
              <w:t>[128, 64, 32]</w:t>
            </w:r>
          </w:p>
        </w:tc>
        <w:tc>
          <w:tcPr>
            <w:tcW w:w="0" w:type="auto"/>
            <w:vAlign w:val="center"/>
            <w:hideMark/>
          </w:tcPr>
          <w:p w14:paraId="72D8CE88" w14:textId="77777777" w:rsidR="00B81EF4" w:rsidRPr="00B81EF4" w:rsidRDefault="00B81EF4" w:rsidP="00B81EF4">
            <w:proofErr w:type="spellStart"/>
            <w:r w:rsidRPr="00B81EF4">
              <w:t>ReLU</w:t>
            </w:r>
            <w:proofErr w:type="spellEnd"/>
          </w:p>
        </w:tc>
        <w:tc>
          <w:tcPr>
            <w:tcW w:w="0" w:type="auto"/>
            <w:vAlign w:val="center"/>
            <w:hideMark/>
          </w:tcPr>
          <w:p w14:paraId="02783D75" w14:textId="77777777" w:rsidR="00B81EF4" w:rsidRPr="00B81EF4" w:rsidRDefault="00B81EF4" w:rsidP="00B81EF4">
            <w:r w:rsidRPr="00B81EF4">
              <w:t>Nesterov</w:t>
            </w:r>
          </w:p>
        </w:tc>
        <w:tc>
          <w:tcPr>
            <w:tcW w:w="0" w:type="auto"/>
            <w:vAlign w:val="center"/>
            <w:hideMark/>
          </w:tcPr>
          <w:p w14:paraId="59DA6354" w14:textId="77777777" w:rsidR="00B81EF4" w:rsidRPr="00B81EF4" w:rsidRDefault="00B81EF4" w:rsidP="00B81EF4">
            <w:r w:rsidRPr="00B81EF4">
              <w:t>0.0005</w:t>
            </w:r>
          </w:p>
        </w:tc>
        <w:tc>
          <w:tcPr>
            <w:tcW w:w="0" w:type="auto"/>
            <w:vAlign w:val="center"/>
            <w:hideMark/>
          </w:tcPr>
          <w:p w14:paraId="2A2185B4" w14:textId="77777777" w:rsidR="00B81EF4" w:rsidRPr="00B81EF4" w:rsidRDefault="00B81EF4" w:rsidP="00B81EF4">
            <w:r w:rsidRPr="00B81EF4">
              <w:t>93.52%</w:t>
            </w:r>
          </w:p>
        </w:tc>
        <w:tc>
          <w:tcPr>
            <w:tcW w:w="0" w:type="auto"/>
            <w:vAlign w:val="center"/>
            <w:hideMark/>
          </w:tcPr>
          <w:p w14:paraId="6313225B" w14:textId="77777777" w:rsidR="00B81EF4" w:rsidRPr="00B81EF4" w:rsidRDefault="00B81EF4" w:rsidP="00B81EF4">
            <w:r w:rsidRPr="00B81EF4">
              <w:t>86.38%</w:t>
            </w:r>
          </w:p>
        </w:tc>
      </w:tr>
    </w:tbl>
    <w:p w14:paraId="2BC036EF" w14:textId="77777777" w:rsidR="00B81EF4" w:rsidRPr="00B81EF4" w:rsidRDefault="00B81EF4" w:rsidP="00B81EF4">
      <w:pPr>
        <w:rPr>
          <w:b/>
          <w:bCs/>
        </w:rPr>
      </w:pPr>
      <w:r w:rsidRPr="00B81EF4">
        <w:rPr>
          <w:b/>
          <w:bCs/>
        </w:rPr>
        <w:t>Interpretation of Results</w:t>
      </w:r>
    </w:p>
    <w:p w14:paraId="080833B0" w14:textId="77777777" w:rsidR="00B81EF4" w:rsidRPr="00B81EF4" w:rsidRDefault="00B81EF4" w:rsidP="00B81EF4">
      <w:pPr>
        <w:numPr>
          <w:ilvl w:val="0"/>
          <w:numId w:val="1"/>
        </w:numPr>
      </w:pPr>
      <w:r w:rsidRPr="00B81EF4">
        <w:t xml:space="preserve">The best performing model had </w:t>
      </w:r>
      <w:r w:rsidRPr="00B81EF4">
        <w:rPr>
          <w:b/>
          <w:bCs/>
        </w:rPr>
        <w:t>128 and 64 hidden units</w:t>
      </w:r>
      <w:r w:rsidRPr="00B81EF4">
        <w:t xml:space="preserve">, used </w:t>
      </w:r>
      <w:proofErr w:type="spellStart"/>
      <w:r w:rsidRPr="00B81EF4">
        <w:rPr>
          <w:b/>
          <w:bCs/>
        </w:rPr>
        <w:t>ReLU</w:t>
      </w:r>
      <w:proofErr w:type="spellEnd"/>
      <w:r w:rsidRPr="00B81EF4">
        <w:rPr>
          <w:b/>
          <w:bCs/>
        </w:rPr>
        <w:t xml:space="preserve"> activation</w:t>
      </w:r>
      <w:r w:rsidRPr="00B81EF4">
        <w:t xml:space="preserve">, the </w:t>
      </w:r>
      <w:r w:rsidRPr="00B81EF4">
        <w:rPr>
          <w:b/>
          <w:bCs/>
        </w:rPr>
        <w:t>Adam optimizer</w:t>
      </w:r>
      <w:r w:rsidRPr="00B81EF4">
        <w:t xml:space="preserve">, and </w:t>
      </w:r>
      <w:r w:rsidRPr="00B81EF4">
        <w:rPr>
          <w:b/>
          <w:bCs/>
        </w:rPr>
        <w:t>L2 weight decay of 0.0005</w:t>
      </w:r>
      <w:r w:rsidRPr="00B81EF4">
        <w:t xml:space="preserve">. This model achieved a validation accuracy of </w:t>
      </w:r>
      <w:r w:rsidRPr="00B81EF4">
        <w:rPr>
          <w:b/>
          <w:bCs/>
        </w:rPr>
        <w:t>95.30%</w:t>
      </w:r>
      <w:r w:rsidRPr="00B81EF4">
        <w:t xml:space="preserve"> and a test accuracy of </w:t>
      </w:r>
      <w:r w:rsidRPr="00B81EF4">
        <w:rPr>
          <w:b/>
          <w:bCs/>
        </w:rPr>
        <w:t>88.83%</w:t>
      </w:r>
      <w:r w:rsidRPr="00B81EF4">
        <w:t>.</w:t>
      </w:r>
    </w:p>
    <w:p w14:paraId="3DB397A4" w14:textId="77777777" w:rsidR="00B81EF4" w:rsidRPr="00B81EF4" w:rsidRDefault="00B81EF4" w:rsidP="00B81EF4">
      <w:pPr>
        <w:numPr>
          <w:ilvl w:val="0"/>
          <w:numId w:val="1"/>
        </w:numPr>
      </w:pPr>
      <w:r w:rsidRPr="00B81EF4">
        <w:t xml:space="preserve">The model with </w:t>
      </w:r>
      <w:r w:rsidRPr="00B81EF4">
        <w:rPr>
          <w:b/>
          <w:bCs/>
        </w:rPr>
        <w:t>SGD optimizer and no weight decay</w:t>
      </w:r>
      <w:r w:rsidRPr="00B81EF4">
        <w:t xml:space="preserve"> performed the worst, indicating that proper regularization is crucial for generalization.</w:t>
      </w:r>
    </w:p>
    <w:p w14:paraId="2DCD4AF7" w14:textId="77777777" w:rsidR="00B81EF4" w:rsidRPr="00B81EF4" w:rsidRDefault="00B81EF4" w:rsidP="00B81EF4">
      <w:pPr>
        <w:numPr>
          <w:ilvl w:val="0"/>
          <w:numId w:val="1"/>
        </w:numPr>
      </w:pPr>
      <w:r w:rsidRPr="00B81EF4">
        <w:t xml:space="preserve">The model with </w:t>
      </w:r>
      <w:r w:rsidRPr="00B81EF4">
        <w:rPr>
          <w:b/>
          <w:bCs/>
        </w:rPr>
        <w:t>sigmoid activation</w:t>
      </w:r>
      <w:r w:rsidRPr="00B81EF4">
        <w:t xml:space="preserve"> (instead of </w:t>
      </w:r>
      <w:proofErr w:type="spellStart"/>
      <w:r w:rsidRPr="00B81EF4">
        <w:t>ReLU</w:t>
      </w:r>
      <w:proofErr w:type="spellEnd"/>
      <w:r w:rsidRPr="00B81EF4">
        <w:t xml:space="preserve">) showed a lower performance, suggesting that </w:t>
      </w:r>
      <w:proofErr w:type="spellStart"/>
      <w:r w:rsidRPr="00B81EF4">
        <w:t>ReLU</w:t>
      </w:r>
      <w:proofErr w:type="spellEnd"/>
      <w:r w:rsidRPr="00B81EF4">
        <w:t xml:space="preserve"> is better suited for this dataset.</w:t>
      </w:r>
    </w:p>
    <w:p w14:paraId="37C1BE26" w14:textId="77777777" w:rsidR="00B81EF4" w:rsidRPr="00B81EF4" w:rsidRDefault="00B81EF4" w:rsidP="00B81EF4">
      <w:pPr>
        <w:numPr>
          <w:ilvl w:val="0"/>
          <w:numId w:val="1"/>
        </w:numPr>
      </w:pPr>
      <w:r w:rsidRPr="00B81EF4">
        <w:rPr>
          <w:b/>
          <w:bCs/>
        </w:rPr>
        <w:t>Weight decay (L2 regularization) improved model performance</w:t>
      </w:r>
      <w:r w:rsidRPr="00B81EF4">
        <w:t>, especially for the best-performing configuration.</w:t>
      </w:r>
    </w:p>
    <w:p w14:paraId="1EA8782C" w14:textId="77777777" w:rsidR="00B81EF4" w:rsidRPr="00B81EF4" w:rsidRDefault="00B81EF4" w:rsidP="00B81EF4">
      <w:pPr>
        <w:rPr>
          <w:b/>
          <w:bCs/>
        </w:rPr>
      </w:pPr>
      <w:r w:rsidRPr="00B81EF4">
        <w:rPr>
          <w:b/>
          <w:bCs/>
        </w:rPr>
        <w:t>Confusion Matrix Analysis</w:t>
      </w:r>
    </w:p>
    <w:p w14:paraId="4016E496" w14:textId="77777777" w:rsidR="00B81EF4" w:rsidRPr="00B81EF4" w:rsidRDefault="00B81EF4" w:rsidP="00B81EF4">
      <w:r w:rsidRPr="00B81EF4">
        <w:t>A confusion matrix was generated for the best model. The results indicate that:</w:t>
      </w:r>
    </w:p>
    <w:p w14:paraId="494C1599" w14:textId="77777777" w:rsidR="00B81EF4" w:rsidRPr="00B81EF4" w:rsidRDefault="00B81EF4" w:rsidP="00B81EF4">
      <w:pPr>
        <w:numPr>
          <w:ilvl w:val="0"/>
          <w:numId w:val="2"/>
        </w:numPr>
      </w:pPr>
      <w:r w:rsidRPr="00B81EF4">
        <w:t>Most misclassifications occurred between visually similar characters.</w:t>
      </w:r>
    </w:p>
    <w:p w14:paraId="06E576E3" w14:textId="77777777" w:rsidR="00B81EF4" w:rsidRPr="00B81EF4" w:rsidRDefault="00B81EF4" w:rsidP="00B81EF4">
      <w:pPr>
        <w:numPr>
          <w:ilvl w:val="0"/>
          <w:numId w:val="2"/>
        </w:numPr>
      </w:pPr>
      <w:r w:rsidRPr="00B81EF4">
        <w:t>The model generally performed well across all classes, but certain classes had slightly higher misclassification rates.</w:t>
      </w:r>
    </w:p>
    <w:p w14:paraId="2C0E8FF3" w14:textId="77777777" w:rsidR="00B81EF4" w:rsidRPr="00B81EF4" w:rsidRDefault="00B81EF4" w:rsidP="00B81EF4">
      <w:pPr>
        <w:rPr>
          <w:b/>
          <w:bCs/>
        </w:rPr>
      </w:pPr>
      <w:r w:rsidRPr="00B81EF4">
        <w:rPr>
          <w:b/>
          <w:bCs/>
        </w:rPr>
        <w:t>Future Improvements</w:t>
      </w:r>
    </w:p>
    <w:p w14:paraId="45B51A92" w14:textId="77777777" w:rsidR="00B81EF4" w:rsidRPr="00B81EF4" w:rsidRDefault="00B81EF4" w:rsidP="00B81EF4">
      <w:pPr>
        <w:numPr>
          <w:ilvl w:val="0"/>
          <w:numId w:val="3"/>
        </w:numPr>
      </w:pPr>
      <w:r w:rsidRPr="00B81EF4">
        <w:rPr>
          <w:b/>
          <w:bCs/>
        </w:rPr>
        <w:t>Experimenting with deeper architectures</w:t>
      </w:r>
      <w:r w:rsidRPr="00B81EF4">
        <w:t xml:space="preserve"> – Adding more hidden layers may improve feature learning.</w:t>
      </w:r>
    </w:p>
    <w:p w14:paraId="4FC91CD8" w14:textId="77777777" w:rsidR="00B81EF4" w:rsidRPr="00B81EF4" w:rsidRDefault="00B81EF4" w:rsidP="00B81EF4">
      <w:pPr>
        <w:numPr>
          <w:ilvl w:val="0"/>
          <w:numId w:val="3"/>
        </w:numPr>
      </w:pPr>
      <w:r w:rsidRPr="00B81EF4">
        <w:rPr>
          <w:b/>
          <w:bCs/>
        </w:rPr>
        <w:t>Fine-tuning the learning rate</w:t>
      </w:r>
      <w:r w:rsidRPr="00B81EF4">
        <w:t xml:space="preserve"> – Optimizers like Adam and RMSprop are sensitive to learning rate adjustments.</w:t>
      </w:r>
    </w:p>
    <w:p w14:paraId="71646115" w14:textId="77777777" w:rsidR="00B81EF4" w:rsidRPr="00B81EF4" w:rsidRDefault="00B81EF4" w:rsidP="00B81EF4">
      <w:pPr>
        <w:numPr>
          <w:ilvl w:val="0"/>
          <w:numId w:val="3"/>
        </w:numPr>
      </w:pPr>
      <w:r w:rsidRPr="00B81EF4">
        <w:rPr>
          <w:b/>
          <w:bCs/>
        </w:rPr>
        <w:lastRenderedPageBreak/>
        <w:t>Data augmentation</w:t>
      </w:r>
      <w:r w:rsidRPr="00B81EF4">
        <w:t xml:space="preserve"> – Adding rotation, noise, and scaling to training images can further improve generalization.</w:t>
      </w:r>
    </w:p>
    <w:p w14:paraId="32ED61EF" w14:textId="77777777" w:rsidR="00B81EF4" w:rsidRPr="00B81EF4" w:rsidRDefault="00B81EF4" w:rsidP="00B81EF4">
      <w:pPr>
        <w:numPr>
          <w:ilvl w:val="0"/>
          <w:numId w:val="3"/>
        </w:numPr>
      </w:pPr>
      <w:r w:rsidRPr="00B81EF4">
        <w:rPr>
          <w:b/>
          <w:bCs/>
        </w:rPr>
        <w:t>Batch normalization</w:t>
      </w:r>
      <w:r w:rsidRPr="00B81EF4">
        <w:t xml:space="preserve"> – Normalizing activations between layers may lead to faster convergence.</w:t>
      </w:r>
    </w:p>
    <w:p w14:paraId="57D2D8AD" w14:textId="77777777" w:rsidR="00B81EF4" w:rsidRPr="00B81EF4" w:rsidRDefault="00B81EF4" w:rsidP="00B81EF4">
      <w:pPr>
        <w:rPr>
          <w:b/>
          <w:bCs/>
        </w:rPr>
      </w:pPr>
      <w:r w:rsidRPr="00B81EF4">
        <w:rPr>
          <w:b/>
          <w:bCs/>
        </w:rPr>
        <w:t>Conclusion</w:t>
      </w:r>
    </w:p>
    <w:p w14:paraId="4ECF504B" w14:textId="77777777" w:rsidR="00B81EF4" w:rsidRPr="00B81EF4" w:rsidRDefault="00B81EF4" w:rsidP="00B81EF4">
      <w:r w:rsidRPr="00B81EF4">
        <w:t xml:space="preserve">The study highlights the effectiveness of Adam optimization and </w:t>
      </w:r>
      <w:proofErr w:type="spellStart"/>
      <w:r w:rsidRPr="00B81EF4">
        <w:t>ReLU</w:t>
      </w:r>
      <w:proofErr w:type="spellEnd"/>
      <w:r w:rsidRPr="00B81EF4">
        <w:t xml:space="preserve"> activation in neural networks for the KMNIST dataset. Proper regularization (L2 weight decay) significantly improves model generalization, and future work can focus on fine-tuning hyperparameters and incorporating advanced techniques to further boost accuracy.</w:t>
      </w:r>
    </w:p>
    <w:p w14:paraId="48919902" w14:textId="77777777" w:rsidR="00E137CA" w:rsidRDefault="00E137CA"/>
    <w:sectPr w:rsidR="00E13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06D4"/>
    <w:multiLevelType w:val="multilevel"/>
    <w:tmpl w:val="461C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836EF"/>
    <w:multiLevelType w:val="multilevel"/>
    <w:tmpl w:val="7E1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C78D2"/>
    <w:multiLevelType w:val="multilevel"/>
    <w:tmpl w:val="D10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18655">
    <w:abstractNumId w:val="1"/>
  </w:num>
  <w:num w:numId="2" w16cid:durableId="1366905571">
    <w:abstractNumId w:val="2"/>
  </w:num>
  <w:num w:numId="3" w16cid:durableId="956983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F4"/>
    <w:rsid w:val="006C76B5"/>
    <w:rsid w:val="00A13B09"/>
    <w:rsid w:val="00B81EF4"/>
    <w:rsid w:val="00E13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DB9A"/>
  <w15:chartTrackingRefBased/>
  <w15:docId w15:val="{8D437CAE-18A1-49C9-857C-58EB5C31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E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1E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1E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E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E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E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1E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1E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E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E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EF4"/>
    <w:rPr>
      <w:rFonts w:eastAsiaTheme="majorEastAsia" w:cstheme="majorBidi"/>
      <w:color w:val="272727" w:themeColor="text1" w:themeTint="D8"/>
    </w:rPr>
  </w:style>
  <w:style w:type="paragraph" w:styleId="Title">
    <w:name w:val="Title"/>
    <w:basedOn w:val="Normal"/>
    <w:next w:val="Normal"/>
    <w:link w:val="TitleChar"/>
    <w:uiPriority w:val="10"/>
    <w:qFormat/>
    <w:rsid w:val="00B81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EF4"/>
    <w:pPr>
      <w:spacing w:before="160"/>
      <w:jc w:val="center"/>
    </w:pPr>
    <w:rPr>
      <w:i/>
      <w:iCs/>
      <w:color w:val="404040" w:themeColor="text1" w:themeTint="BF"/>
    </w:rPr>
  </w:style>
  <w:style w:type="character" w:customStyle="1" w:styleId="QuoteChar">
    <w:name w:val="Quote Char"/>
    <w:basedOn w:val="DefaultParagraphFont"/>
    <w:link w:val="Quote"/>
    <w:uiPriority w:val="29"/>
    <w:rsid w:val="00B81EF4"/>
    <w:rPr>
      <w:i/>
      <w:iCs/>
      <w:color w:val="404040" w:themeColor="text1" w:themeTint="BF"/>
    </w:rPr>
  </w:style>
  <w:style w:type="paragraph" w:styleId="ListParagraph">
    <w:name w:val="List Paragraph"/>
    <w:basedOn w:val="Normal"/>
    <w:uiPriority w:val="34"/>
    <w:qFormat/>
    <w:rsid w:val="00B81EF4"/>
    <w:pPr>
      <w:ind w:left="720"/>
      <w:contextualSpacing/>
    </w:pPr>
  </w:style>
  <w:style w:type="character" w:styleId="IntenseEmphasis">
    <w:name w:val="Intense Emphasis"/>
    <w:basedOn w:val="DefaultParagraphFont"/>
    <w:uiPriority w:val="21"/>
    <w:qFormat/>
    <w:rsid w:val="00B81EF4"/>
    <w:rPr>
      <w:i/>
      <w:iCs/>
      <w:color w:val="2F5496" w:themeColor="accent1" w:themeShade="BF"/>
    </w:rPr>
  </w:style>
  <w:style w:type="paragraph" w:styleId="IntenseQuote">
    <w:name w:val="Intense Quote"/>
    <w:basedOn w:val="Normal"/>
    <w:next w:val="Normal"/>
    <w:link w:val="IntenseQuoteChar"/>
    <w:uiPriority w:val="30"/>
    <w:qFormat/>
    <w:rsid w:val="00B81E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EF4"/>
    <w:rPr>
      <w:i/>
      <w:iCs/>
      <w:color w:val="2F5496" w:themeColor="accent1" w:themeShade="BF"/>
    </w:rPr>
  </w:style>
  <w:style w:type="character" w:styleId="IntenseReference">
    <w:name w:val="Intense Reference"/>
    <w:basedOn w:val="DefaultParagraphFont"/>
    <w:uiPriority w:val="32"/>
    <w:qFormat/>
    <w:rsid w:val="00B81E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883765">
      <w:bodyDiv w:val="1"/>
      <w:marLeft w:val="0"/>
      <w:marRight w:val="0"/>
      <w:marTop w:val="0"/>
      <w:marBottom w:val="0"/>
      <w:divBdr>
        <w:top w:val="none" w:sz="0" w:space="0" w:color="auto"/>
        <w:left w:val="none" w:sz="0" w:space="0" w:color="auto"/>
        <w:bottom w:val="none" w:sz="0" w:space="0" w:color="auto"/>
        <w:right w:val="none" w:sz="0" w:space="0" w:color="auto"/>
      </w:divBdr>
    </w:div>
    <w:div w:id="19941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Eega</dc:creator>
  <cp:keywords/>
  <dc:description/>
  <cp:lastModifiedBy>Saikumar Eega</cp:lastModifiedBy>
  <cp:revision>1</cp:revision>
  <dcterms:created xsi:type="dcterms:W3CDTF">2025-03-02T20:40:00Z</dcterms:created>
  <dcterms:modified xsi:type="dcterms:W3CDTF">2025-03-02T20:40:00Z</dcterms:modified>
</cp:coreProperties>
</file>